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media/rId49.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Style w:val="Table"/>
        <w:tblW w:type="pct" w:w="5000"/>
        <w:tblLayout w:type="fixed"/>
        <w:tblLook w:firstRow="0" w:lastRow="0" w:firstColumn="0" w:lastColumn="0" w:noHBand="0" w:noVBand="0" w:val="0000"/>
      </w:tblPr>
      <w:tblGrid>
        <w:gridCol w:w="5143"/>
        <w:gridCol w:w="2776"/>
      </w:tblGrid>
      <w:tr>
        <w:tc>
          <w:tcPr/>
          <w:p>
            <w:pPr>
              <w:pStyle w:val="Heading1"/>
              <w:spacing w:before="0"/>
            </w:pPr>
            <w:bookmarkStart w:id="42" w:name="lebenslauf-dr.-ing.-thomas-langer"/>
            <w:r>
              <w:t xml:space="preserve">Lebenslauf Dr.-Ing. Thomas Langer</w:t>
            </w:r>
            <w:bookmarkEnd w:id="42"/>
          </w:p>
          <w:p>
            <w:pPr>
              <w:pStyle w:val="Heading2"/>
            </w:pPr>
            <w:bookmarkStart w:id="43" w:name="kontaktdaten"/>
            <w:r>
              <w:t xml:space="preserve">Kontaktdaten</w:t>
            </w:r>
            <w:bookmarkEnd w:id="43"/>
          </w:p>
          <w:p>
            <w:pPr>
              <w:pStyle w:val="Compact"/>
              <w:numPr>
                <w:ilvl w:val="0"/>
                <w:numId w:val="1001"/>
              </w:numPr>
            </w:pPr>
            <w:r>
              <w:t xml:space="preserve">E-Mail:</w:t>
            </w:r>
            <w:r>
              <w:t xml:space="preserve"> </w:t>
            </w:r>
            <w:hyperlink r:id="rId44">
              <w:r>
                <w:rPr>
                  <w:rStyle w:val="Hyperlink"/>
                </w:rPr>
                <w:t xml:space="preserve">Thomas.Langer@destengs.com</w:t>
              </w:r>
            </w:hyperlink>
          </w:p>
          <w:p>
            <w:pPr>
              <w:pStyle w:val="Compact"/>
              <w:numPr>
                <w:ilvl w:val="0"/>
                <w:numId w:val="1001"/>
              </w:numPr>
            </w:pPr>
            <w:r>
              <w:t xml:space="preserve">Telefon:</w:t>
            </w:r>
            <w:r>
              <w:t xml:space="preserve"> </w:t>
            </w:r>
            <w:hyperlink r:id="rId45">
              <w:r>
                <w:rPr>
                  <w:rStyle w:val="Hyperlink"/>
                </w:rPr>
                <w:t xml:space="preserve">+49 89 413 27 59 20</w:t>
              </w:r>
            </w:hyperlink>
          </w:p>
          <w:p>
            <w:pPr>
              <w:pStyle w:val="Compact"/>
              <w:numPr>
                <w:ilvl w:val="0"/>
                <w:numId w:val="1001"/>
              </w:numPr>
            </w:pPr>
            <w:r>
              <w:t xml:space="preserve">Freelance.de:</w:t>
            </w:r>
            <w:r>
              <w:t xml:space="preserve"> </w:t>
            </w:r>
            <w:hyperlink r:id="rId46">
              <w:r>
                <w:rPr>
                  <w:rStyle w:val="Hyperlink"/>
                </w:rPr>
                <w:t xml:space="preserve">[Link zum Profil]</w:t>
              </w:r>
            </w:hyperlink>
          </w:p>
          <w:p>
            <w:pPr>
              <w:pStyle w:val="Compact"/>
              <w:numPr>
                <w:ilvl w:val="0"/>
                <w:numId w:val="1001"/>
              </w:numPr>
            </w:pPr>
            <w:r>
              <w:t xml:space="preserve">Website:</w:t>
            </w:r>
            <w:r>
              <w:t xml:space="preserve"> </w:t>
            </w:r>
            <w:hyperlink r:id="rId47">
              <w:r>
                <w:rPr>
                  <w:rStyle w:val="Hyperlink"/>
                </w:rPr>
                <w:t xml:space="preserve">[destengs.de]</w:t>
              </w:r>
            </w:hyperlink>
          </w:p>
          <w:p>
            <w:pPr>
              <w:pStyle w:val="Compact"/>
              <w:numPr>
                <w:ilvl w:val="0"/>
                <w:numId w:val="1001"/>
              </w:numPr>
            </w:pPr>
            <w:r>
              <w:t xml:space="preserve">LinkedIn:</w:t>
            </w:r>
            <w:r>
              <w:t xml:space="preserve"> </w:t>
            </w:r>
            <w:hyperlink r:id="rId48">
              <w:r>
                <w:rPr>
                  <w:rStyle w:val="Hyperlink"/>
                </w:rPr>
                <w:t xml:space="preserve">[Link zum Profil]</w:t>
              </w:r>
            </w:hyperlink>
          </w:p>
          <w:p>
            <w:pPr>
              <w:pStyle w:val="Compact"/>
              <w:numPr>
                <w:ilvl w:val="0"/>
                <w:numId w:val="1001"/>
              </w:numPr>
            </w:pPr>
            <w:r>
              <w:t xml:space="preserve">Büroadresse: Biberger Straße 91, 82008 Unterhaching</w:t>
            </w:r>
          </w:p>
        </w:tc>
        <w:tc>
          <w:tcPr/>
          <w:p>
            <w:pPr>
              <w:pStyle w:val="Compact"/>
              <w:jc w:val="right"/>
              <w:spacing w:before="100"/>
            </w:pPr>
            <w:r>
              <w:drawing>
                <wp:inline>
                  <wp:extent cx="1461599" cy="1461599"/>
                  <wp:effectExtent b="0" l="0" r="0" t="0"/>
                  <wp:docPr descr="" title="" id="50" name="Picture"/>
                  <a:graphic>
                    <a:graphicData uri="http://schemas.openxmlformats.org/drawingml/2006/picture">
                      <pic:pic>
                        <pic:nvPicPr>
                          <pic:cNvPr descr="foto-wrba_2026_6782_1.jpg" id="51" name="Picture"/>
                          <pic:cNvPicPr>
                            <a:picLocks noChangeArrowheads="1" noChangeAspect="1"/>
                          </pic:cNvPicPr>
                        </pic:nvPicPr>
                        <pic:blipFill>
                          <a:blip r:embed="rId49"/>
                          <a:stretch>
                            <a:fillRect/>
                          </a:stretch>
                        </pic:blipFill>
                        <pic:spPr bwMode="auto">
                          <a:xfrm>
                            <a:off x="0" y="0"/>
                            <a:ext cx="1461599" cy="1461599"/>
                          </a:xfrm>
                          <a:prstGeom prst="rect">
                            <a:avLst/>
                          </a:prstGeom>
                          <a:noFill/>
                          <a:ln w="9525">
                            <a:noFill/>
                            <a:headEnd/>
                            <a:tailEnd/>
                          </a:ln>
                        </pic:spPr>
                      </pic:pic>
                    </a:graphicData>
                  </a:graphic>
                </wp:inline>
              </w:drawing>
            </w:r>
          </w:p>
        </w:tc>
      </w:tr>
    </w:tbl>
    <w:bookmarkStart w:id="52"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52"/>
    <w:bookmarkStart w:id="63"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53"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53"/>
    <w:bookmarkStart w:id="54"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54"/>
    <w:bookmarkStart w:id="55"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55"/>
    <w:bookmarkStart w:id="56"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56"/>
    <w:bookmarkStart w:id="57"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inklusive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57"/>
    <w:bookmarkStart w:id="58"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58"/>
    <w:bookmarkStart w:id="59"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9"/>
    <w:bookmarkStart w:id="60"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60"/>
    <w:bookmarkStart w:id="61"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61"/>
    <w:bookmarkStart w:id="62" w:name="Xb0713520076a761d5493317d72053f42beb4161"/>
    <w:p>
      <w:pPr>
        <w:pStyle w:val="Heading3"/>
      </w:pPr>
      <w:r>
        <w:t xml:space="preserve">Juli 2011 — Gründung von DesTEngS Dr.-Ing. Thomas Langer (Ingenieurbüro), nahe Ulm</w:t>
      </w:r>
    </w:p>
    <w:bookmarkEnd w:id="62"/>
    <w:bookmarkEnd w:id="63"/>
    <w:bookmarkStart w:id="71"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64"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64"/>
    <w:bookmarkStart w:id="65"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elektrische Analysen von IC-Gehäusen (bis zu 11 Gb/s, bis zu 1444 Balls)</w:t>
      </w:r>
    </w:p>
    <w:p>
      <w:pPr>
        <w:pStyle w:val="Compact"/>
        <w:numPr>
          <w:ilvl w:val="0"/>
          <w:numId w:val="1029"/>
        </w:numPr>
      </w:pPr>
      <w:r>
        <w:rPr>
          <w:i/>
          <w:iCs/>
        </w:rPr>
        <w:t xml:space="preserve">(Ab April 2004: Senior Engineer)</w:t>
      </w:r>
    </w:p>
    <w:bookmarkEnd w:id="65"/>
    <w:bookmarkStart w:id="66"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66"/>
    <w:bookmarkStart w:id="67"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67"/>
    <w:bookmarkStart w:id="68"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im Jahr 2001</w:t>
      </w:r>
    </w:p>
    <w:p>
      <w:pPr>
        <w:pStyle w:val="Compact"/>
        <w:numPr>
          <w:ilvl w:val="1"/>
          <w:numId w:val="1036"/>
        </w:numPr>
      </w:pPr>
      <w:r>
        <w:t xml:space="preserve">Erstellung eines präzisen Schottky-Dioden Modells für hyperabrupte Dotierungsprofile und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Transimpedanzverstärker-GaAs-MMICs für 100 MHz – 6 GHz</w:t>
      </w:r>
    </w:p>
    <w:bookmarkEnd w:id="68"/>
    <w:bookmarkStart w:id="69"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9"/>
    <w:bookmarkStart w:id="70"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70"/>
    <w:bookmarkEnd w:id="71"/>
    <w:bookmarkStart w:id="74"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w:t>
            </w:r>
            <w:r>
              <w:t xml:space="preserve"> </w:t>
            </w:r>
            <w:hyperlink r:id="rId72">
              <w:r>
                <w:rPr>
                  <w:rStyle w:val="Hyperlink"/>
                </w:rPr>
                <w:t xml:space="preserve">[Zertifikat (Link funktioniert im Browser)]</w:t>
              </w:r>
            </w:hyperlink>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w:t>
            </w:r>
            <w:r>
              <w:t xml:space="preserve"> </w:t>
            </w:r>
            <w:hyperlink r:id="rId73">
              <w:r>
                <w:rPr>
                  <w:rStyle w:val="Hyperlink"/>
                </w:rPr>
                <w:t xml:space="preserve">[Dissertation]</w:t>
              </w:r>
            </w:hyperlink>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74"/>
    <w:bookmarkStart w:id="75" w:name="trainings"/>
    <w:p>
      <w:pPr>
        <w:pStyle w:val="Heading2"/>
      </w:pPr>
      <w:r>
        <w:t xml:space="preserve">Trainings</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Dez. 2016</w:t>
            </w:r>
          </w:p>
        </w:tc>
        <w:tc>
          <w:tcPr/>
          <w:p>
            <w:pPr>
              <w:pStyle w:val="Compact"/>
              <w:jc w:val="left"/>
            </w:pPr>
            <w:r>
              <w:t xml:space="preserve">Ansys SIwave Training</w:t>
            </w:r>
          </w:p>
        </w:tc>
      </w:tr>
      <w:tr>
        <w:tc>
          <w:tcPr/>
          <w:p>
            <w:pPr>
              <w:pStyle w:val="Compact"/>
              <w:jc w:val="left"/>
            </w:pPr>
            <w:r>
              <w:t xml:space="preserve">Juni 2016</w:t>
            </w:r>
          </w:p>
        </w:tc>
        <w:tc>
          <w:tcPr/>
          <w:p>
            <w:pPr>
              <w:pStyle w:val="Compact"/>
              <w:jc w:val="left"/>
            </w:pPr>
            <w:r>
              <w:t xml:space="preserve">Keysight, „High Speed Digital class using ADS”</w:t>
            </w:r>
          </w:p>
        </w:tc>
      </w:tr>
      <w:tr>
        <w:tc>
          <w:tcPr/>
          <w:p>
            <w:pPr>
              <w:pStyle w:val="Compact"/>
              <w:jc w:val="left"/>
            </w:pPr>
            <w:r>
              <w:t xml:space="preserve">Jan. 2008</w:t>
            </w:r>
          </w:p>
        </w:tc>
        <w:tc>
          <w:tcPr/>
          <w:p>
            <w:pPr>
              <w:pStyle w:val="Compact"/>
              <w:jc w:val="left"/>
            </w:pPr>
            <w:r>
              <w:t xml:space="preserve">Gustav Käser, „Management”</w:t>
            </w:r>
          </w:p>
        </w:tc>
      </w:tr>
      <w:tr>
        <w:tc>
          <w:tcPr/>
          <w:p>
            <w:pPr>
              <w:pStyle w:val="Compact"/>
              <w:jc w:val="left"/>
            </w:pPr>
            <w:r>
              <w:t xml:space="preserve">Juni 2007</w:t>
            </w:r>
          </w:p>
        </w:tc>
        <w:tc>
          <w:tcPr/>
          <w:p>
            <w:pPr>
              <w:pStyle w:val="Compact"/>
              <w:jc w:val="left"/>
            </w:pPr>
            <w:r>
              <w:t xml:space="preserve">Die Akademie, „Führung und Organisation 1”</w:t>
            </w:r>
          </w:p>
        </w:tc>
      </w:tr>
      <w:tr>
        <w:tc>
          <w:tcPr/>
          <w:p>
            <w:pPr>
              <w:pStyle w:val="Compact"/>
              <w:jc w:val="left"/>
            </w:pPr>
            <w:r>
              <w:t xml:space="preserve">Apr. 2006</w:t>
            </w:r>
          </w:p>
        </w:tc>
        <w:tc>
          <w:tcPr/>
          <w:p>
            <w:pPr>
              <w:pStyle w:val="Compact"/>
              <w:jc w:val="left"/>
            </w:pPr>
            <w:r>
              <w:t xml:space="preserve">Die Akademie, „Gedächtnis- und Konzentrationstraining”</w:t>
            </w:r>
          </w:p>
        </w:tc>
      </w:tr>
      <w:tr>
        <w:tc>
          <w:tcPr/>
          <w:p>
            <w:pPr>
              <w:pStyle w:val="Compact"/>
              <w:jc w:val="left"/>
            </w:pPr>
            <w:r>
              <w:t xml:space="preserve">Mai 2000</w:t>
            </w:r>
          </w:p>
        </w:tc>
        <w:tc>
          <w:tcPr/>
          <w:p>
            <w:pPr>
              <w:pStyle w:val="Compact"/>
              <w:jc w:val="left"/>
            </w:pPr>
            <w:r>
              <w:t xml:space="preserve">Seminar „Persönlichkeitsentwicklung im Team”</w:t>
            </w:r>
          </w:p>
        </w:tc>
      </w:tr>
    </w:tbl>
    <w:bookmarkEnd w:id="75"/>
    <w:bookmarkStart w:id="76"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39"/>
        </w:numPr>
      </w:pPr>
      <w:r>
        <w:t xml:space="preserve">KI-Potenzialanalyse und KI-Strategieentwicklung</w:t>
      </w:r>
    </w:p>
    <w:p>
      <w:pPr>
        <w:keepNext/>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KI Software: Miro, Notion, Fireflies.ai, Gamma, Canva</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0"/>
        </w:numPr>
      </w:pPr>
      <w:r>
        <w:t xml:space="preserve">Mixture of Experts (MoE), Reasoning Models, Function Calling / Tool Use</w:t>
      </w:r>
    </w:p>
    <w:p>
      <w:pPr>
        <w:pStyle w:val="Compact"/>
        <w:numPr>
          <w:ilvl w:val="1"/>
          <w:numId w:val="1040"/>
        </w:numPr>
      </w:pPr>
      <w:r>
        <w:t xml:space="preserve">Praxis-Erfahrung mit OpenAI GPTs, Google Gemini, Anthropic Opus, Sonnet, Haiku sowie On-Premise gpt-oss-20b, Qwen3-VL-8B, Qwen3.5-9B</w:t>
      </w:r>
    </w:p>
    <w:p>
      <w:pPr>
        <w:pStyle w:val="Compact"/>
        <w:numPr>
          <w:ilvl w:val="1"/>
          <w:numId w:val="1040"/>
        </w:numPr>
      </w:pPr>
      <w:r>
        <w:t xml:space="preserve">Supervised Fine-Tuning (SFT) eines gpt-4o-mini LLMs</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1"/>
          <w:numId w:val="1041"/>
        </w:numPr>
      </w:pPr>
      <w:r>
        <w:t xml:space="preserve">Model Context Protocol (MCP)</w:t>
      </w:r>
    </w:p>
    <w:p>
      <w:pPr>
        <w:pStyle w:val="Compact"/>
        <w:numPr>
          <w:ilvl w:val="0"/>
          <w:numId w:val="1039"/>
        </w:numPr>
      </w:pPr>
      <w:r>
        <w:t xml:space="preserve">Natural Language Processing (NLP)</w:t>
      </w:r>
    </w:p>
    <w:p>
      <w:pPr>
        <w:pStyle w:val="Compact"/>
        <w:numPr>
          <w:ilvl w:val="0"/>
          <w:numId w:val="1039"/>
        </w:numPr>
      </w:pPr>
      <w:r>
        <w:t xml:space="preserve">Retrieval Augmented Generation (RAG)</w:t>
      </w:r>
    </w:p>
    <w:p>
      <w:pPr>
        <w:pStyle w:val="Compact"/>
        <w:numPr>
          <w:ilvl w:val="1"/>
          <w:numId w:val="1042"/>
        </w:numPr>
      </w:pPr>
      <w:r>
        <w:t xml:space="preserve">Chunk-Strategien</w:t>
      </w:r>
    </w:p>
    <w:p>
      <w:pPr>
        <w:pStyle w:val="Compact"/>
        <w:numPr>
          <w:ilvl w:val="1"/>
          <w:numId w:val="1042"/>
        </w:numPr>
      </w:pPr>
      <w:r>
        <w:t xml:space="preserve">Embedding Models, Praxis-Erfahrung mit OpenAI text-embedding-3-small, On-Premise tomoro-colqwen3-embed-4b</w:t>
      </w:r>
    </w:p>
    <w:p>
      <w:pPr>
        <w:pStyle w:val="Compact"/>
        <w:numPr>
          <w:ilvl w:val="1"/>
          <w:numId w:val="1042"/>
        </w:numPr>
      </w:pPr>
      <w:r>
        <w:t xml:space="preserve">Vektor-Datenbanken, Praxis-Erfahrung mit Pinecone, On-Premise Qdrant</w:t>
      </w:r>
    </w:p>
    <w:p>
      <w:pPr>
        <w:pStyle w:val="Compact"/>
        <w:numPr>
          <w:ilvl w:val="0"/>
          <w:numId w:val="1039"/>
        </w:numPr>
      </w:pPr>
      <w:r>
        <w:t xml:space="preserve">Edge AI / On-Premise KI-Infrastruktur (Auswahl, Aufbau und Betrieb)</w:t>
      </w:r>
    </w:p>
    <w:p>
      <w:pPr>
        <w:pStyle w:val="Compact"/>
        <w:numPr>
          <w:ilvl w:val="1"/>
          <w:numId w:val="1043"/>
        </w:numPr>
      </w:pPr>
      <w:r>
        <w:t xml:space="preserve">Consumer-GPU-Inference (NVIDIA Blackwell Architektur, RTX 50-Serie, CUDA Toolkit)</w:t>
      </w:r>
    </w:p>
    <w:p>
      <w:pPr>
        <w:keepNext/>
        <w:pStyle w:val="Compact"/>
        <w:numPr>
          <w:ilvl w:val="1"/>
          <w:numId w:val="1043"/>
        </w:numPr>
      </w:pPr>
      <w:r>
        <w:t xml:space="preserve">LLM-Quantisierung: 8-bit Inference (FP8), MXFP4 Quantization</w:t>
      </w:r>
    </w:p>
    <w:p>
      <w:pPr>
        <w:keepNext/>
        <w:pStyle w:val="Compact"/>
        <w:numPr>
          <w:ilvl w:val="1"/>
          <w:numId w:val="1043"/>
        </w:numPr>
      </w:pPr>
      <w:r>
        <w:t xml:space="preserve">GGUF und Safetensors Modelle</w:t>
      </w:r>
    </w:p>
    <w:p>
      <w:pPr>
        <w:pStyle w:val="Compact"/>
        <w:numPr>
          <w:ilvl w:val="1"/>
          <w:numId w:val="1043"/>
        </w:numPr>
      </w:pPr>
      <w:r>
        <w:t xml:space="preserve">Ollama, Hugging Face Transformers, PyTorch, llama.cpp, Open WebUI</w:t>
      </w:r>
    </w:p>
    <w:p>
      <w:pPr>
        <w:pStyle w:val="FirstParagraph"/>
      </w:pPr>
      <w:r>
        <w:rPr>
          <w:b/>
          <w:bCs/>
        </w:rPr>
        <w:t xml:space="preserve">Software Design:</w:t>
      </w:r>
    </w:p>
    <w:p>
      <w:pPr>
        <w:keepNext/>
        <w:pStyle w:val="Compact"/>
        <w:numPr>
          <w:ilvl w:val="0"/>
          <w:numId w:val="1044"/>
        </w:numPr>
      </w:pPr>
      <w:r>
        <w:t xml:space="preserve">Objektorientierte Programmierung, ereignisorientierte Programmierung, prozedurale Programmierung</w:t>
      </w:r>
    </w:p>
    <w:p>
      <w:pPr>
        <w:keepNext/>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keepNext/>
        <w:pStyle w:val="Compact"/>
        <w:numPr>
          <w:ilvl w:val="0"/>
          <w:numId w:val="1044"/>
        </w:numPr>
      </w:pPr>
      <w:r>
        <w:t xml:space="preserve">Matlab</w:t>
      </w:r>
    </w:p>
    <w:p>
      <w:pPr>
        <w:keepNext/>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keepNext/>
        <w:pStyle w:val="Compact"/>
        <w:numPr>
          <w:ilvl w:val="0"/>
          <w:numId w:val="1045"/>
        </w:numPr>
      </w:pPr>
      <w:r>
        <w:t xml:space="preserve">Konzepterstellung</w:t>
      </w:r>
    </w:p>
    <w:p>
      <w:pPr>
        <w:keepNext/>
        <w:pStyle w:val="Compact"/>
        <w:numPr>
          <w:ilvl w:val="0"/>
          <w:numId w:val="1045"/>
        </w:numPr>
      </w:pPr>
      <w:r>
        <w:t xml:space="preserve">Machbarkeitsstudien</w:t>
      </w:r>
    </w:p>
    <w:p>
      <w:pPr>
        <w:pStyle w:val="Compact"/>
        <w:numPr>
          <w:ilvl w:val="0"/>
          <w:numId w:val="1045"/>
        </w:numPr>
      </w:pPr>
      <w:r>
        <w:t xml:space="preserve">Anforderungsanalyse / Requirements Engineering</w:t>
      </w:r>
    </w:p>
    <w:p>
      <w:pPr>
        <w:pStyle w:val="Compact"/>
        <w:numPr>
          <w:ilvl w:val="0"/>
          <w:numId w:val="1045"/>
        </w:numPr>
      </w:pPr>
      <w:r>
        <w:t xml:space="preserve">Spezifikationserstellung</w:t>
      </w:r>
    </w:p>
    <w:p>
      <w:pPr>
        <w:pStyle w:val="Compact"/>
        <w:numPr>
          <w:ilvl w:val="0"/>
          <w:numId w:val="1045"/>
        </w:numPr>
      </w:pPr>
      <w:r>
        <w:t xml:space="preserve">Technologie-Evaluierung und -Auswahl</w:t>
      </w:r>
    </w:p>
    <w:p>
      <w:pPr>
        <w:pStyle w:val="Compact"/>
        <w:numPr>
          <w:ilvl w:val="0"/>
          <w:numId w:val="1045"/>
        </w:numPr>
      </w:pPr>
      <w:r>
        <w:t xml:space="preserve">System-Architektur und -Design</w:t>
      </w:r>
    </w:p>
    <w:p>
      <w:pPr>
        <w:pStyle w:val="Compact"/>
        <w:numPr>
          <w:ilvl w:val="0"/>
          <w:numId w:val="1045"/>
        </w:numPr>
      </w:pPr>
      <w:r>
        <w:t xml:space="preserve">SW-Architektur und -Design</w:t>
      </w:r>
    </w:p>
    <w:p>
      <w:pPr>
        <w:pStyle w:val="Compact"/>
        <w:numPr>
          <w:ilvl w:val="0"/>
          <w:numId w:val="1045"/>
        </w:numPr>
      </w:pPr>
      <w:r>
        <w:t xml:space="preserve">Verifikation und Validierung</w:t>
      </w:r>
    </w:p>
    <w:p>
      <w:pPr>
        <w:pStyle w:val="Compact"/>
        <w:numPr>
          <w:ilvl w:val="0"/>
          <w:numId w:val="1045"/>
        </w:numPr>
      </w:pPr>
      <w:r>
        <w:t xml:space="preserve">System Integration</w:t>
      </w:r>
    </w:p>
    <w:p>
      <w:pPr>
        <w:keepNext/>
        <w:pStyle w:val="Compact"/>
        <w:numPr>
          <w:ilvl w:val="0"/>
          <w:numId w:val="1045"/>
        </w:numPr>
      </w:pPr>
      <w:r>
        <w:t xml:space="preserve">Technische Dokumentation</w:t>
      </w:r>
    </w:p>
    <w:p>
      <w:pPr>
        <w:keepNext/>
        <w:pStyle w:val="Compact"/>
        <w:numPr>
          <w:ilvl w:val="0"/>
          <w:numId w:val="1045"/>
        </w:numPr>
      </w:pPr>
      <w:r>
        <w:t xml:space="preserve">Systematische Fehleranalyse</w:t>
      </w:r>
    </w:p>
    <w:p>
      <w:pPr>
        <w:pStyle w:val="Compact"/>
        <w:numPr>
          <w:ilvl w:val="0"/>
          <w:numId w:val="1045"/>
        </w:numPr>
      </w:pPr>
      <w:r>
        <w:t xml:space="preserve">Projektmanagement</w:t>
      </w:r>
    </w:p>
    <w:p>
      <w:pPr>
        <w:pStyle w:val="FirstParagraph"/>
      </w:pPr>
      <w:r>
        <w:rPr>
          <w:b/>
          <w:bCs/>
        </w:rPr>
        <w:t xml:space="preserve">IT:</w:t>
      </w:r>
    </w:p>
    <w:p>
      <w:pPr>
        <w:keepNext/>
        <w:pStyle w:val="Compact"/>
        <w:numPr>
          <w:ilvl w:val="0"/>
          <w:numId w:val="1046"/>
        </w:numPr>
      </w:pPr>
      <w:r>
        <w:t xml:space="preserve">MS Windows, Unix inkl. Linux, Embedded Linux und Hosted Linux Server</w:t>
      </w:r>
    </w:p>
    <w:p>
      <w:pPr>
        <w:keepNext/>
        <w:pStyle w:val="Compact"/>
        <w:numPr>
          <w:ilvl w:val="0"/>
          <w:numId w:val="1046"/>
        </w:numPr>
      </w:pPr>
      <w:r>
        <w:t xml:space="preserve">MS Office / LibreOffice</w:t>
      </w:r>
    </w:p>
    <w:p>
      <w:pPr>
        <w:keepNext/>
        <w:pStyle w:val="Compact"/>
        <w:numPr>
          <w:ilvl w:val="0"/>
          <w:numId w:val="1046"/>
        </w:numPr>
      </w:pPr>
      <w:r>
        <w:t xml:space="preserve">MS Azure DevOps Server / Team Foundation Server, PTC Integrity, Subversion Server, Git</w:t>
      </w:r>
    </w:p>
    <w:p>
      <w:pPr>
        <w:keepNext/>
        <w:pStyle w:val="Compact"/>
        <w:numPr>
          <w:ilvl w:val="0"/>
          <w:numId w:val="1046"/>
        </w:numPr>
      </w:pPr>
      <w:r>
        <w:t xml:space="preserve">Virtuelle Maschinen basierend auf VMware Workstation und Linux KVM/Qemu, Docker Container, Podman Pods</w:t>
      </w:r>
    </w:p>
    <w:p>
      <w:pPr>
        <w:keepNext/>
        <w:pStyle w:val="Compact"/>
        <w:numPr>
          <w:ilvl w:val="0"/>
          <w:numId w:val="1046"/>
        </w:numPr>
      </w:pPr>
      <w:r>
        <w:t xml:space="preserve">NextCloud, n8n</w:t>
      </w:r>
    </w:p>
    <w:p>
      <w:pPr>
        <w:pStyle w:val="FirstParagraph"/>
      </w:pPr>
      <w:r>
        <w:rPr>
          <w:b/>
          <w:bCs/>
        </w:rPr>
        <w:t xml:space="preserve">Engineering Software:</w:t>
      </w:r>
    </w:p>
    <w:p>
      <w:pPr>
        <w:keepNext/>
        <w:pStyle w:val="Compact"/>
        <w:numPr>
          <w:ilvl w:val="0"/>
          <w:numId w:val="1047"/>
        </w:numPr>
      </w:pPr>
      <w:r>
        <w:t xml:space="preserve">Vector CANalyzer, CANape, CANoe</w:t>
      </w:r>
    </w:p>
    <w:p>
      <w:pPr>
        <w:keepNext/>
        <w:pStyle w:val="Compact"/>
        <w:numPr>
          <w:ilvl w:val="0"/>
          <w:numId w:val="1047"/>
        </w:numPr>
      </w:pPr>
      <w:r>
        <w:t xml:space="preserve">Ansys Electronics Desktop, HFSS, Q3D, SIwave</w:t>
      </w:r>
    </w:p>
    <w:p>
      <w:pPr>
        <w:keepNext/>
        <w:pStyle w:val="Compact"/>
        <w:numPr>
          <w:ilvl w:val="0"/>
          <w:numId w:val="1047"/>
        </w:numPr>
      </w:pPr>
      <w:r>
        <w:t xml:space="preserve">Keysight ADS inkl. Momentum, SIPro/PIPro und AEL Programmierung</w:t>
      </w:r>
    </w:p>
    <w:p>
      <w:pPr>
        <w:keepNext/>
        <w:pStyle w:val="Compact"/>
        <w:numPr>
          <w:ilvl w:val="0"/>
          <w:numId w:val="1047"/>
        </w:numPr>
      </w:pPr>
      <w:r>
        <w:t xml:space="preserve">CST</w:t>
      </w:r>
    </w:p>
    <w:p>
      <w:pPr>
        <w:pStyle w:val="FirstParagraph"/>
      </w:pPr>
      <w:r>
        <w:rPr>
          <w:b/>
          <w:bCs/>
        </w:rPr>
        <w:t xml:space="preserve">Messtechnik:</w:t>
      </w:r>
    </w:p>
    <w:p>
      <w:pPr>
        <w:keepNext/>
        <w:pStyle w:val="Compact"/>
        <w:numPr>
          <w:ilvl w:val="0"/>
          <w:numId w:val="1048"/>
        </w:numPr>
      </w:pPr>
      <w:r>
        <w:t xml:space="preserve">Daten-Netzwerk Performance mit Wireshark, iperf3, Vector Informatik Ethernet und CAN-Bus Testgeräten, GL Communications PacketExpert Gigabit Ethernet Tester</w:t>
      </w:r>
    </w:p>
    <w:p>
      <w:pPr>
        <w:keepNext/>
        <w:pStyle w:val="Compact"/>
        <w:numPr>
          <w:ilvl w:val="0"/>
          <w:numId w:val="1048"/>
        </w:numPr>
      </w:pPr>
      <w:r>
        <w:t xml:space="preserve">S-Parameter mit Netzwerkanalysatoren bis 110 GHz, On-Wafer und Koaxial, Kalibration, De-Embedding und Mixed-Mode S-Parameter</w:t>
      </w:r>
    </w:p>
    <w:p>
      <w:pPr>
        <w:keepNext/>
        <w:pStyle w:val="Compact"/>
        <w:numPr>
          <w:ilvl w:val="0"/>
          <w:numId w:val="1048"/>
        </w:numPr>
      </w:pPr>
      <w:r>
        <w:t xml:space="preserve">Zeitbereichsmessungen mit Samplingoszilloskopen bis 50 GHz und Realtime-Oszilloskopen bis 13 GHz</w:t>
      </w:r>
    </w:p>
    <w:p>
      <w:pPr>
        <w:pStyle w:val="FirstParagraph"/>
      </w:pPr>
      <w:r>
        <w:rPr>
          <w:b/>
          <w:bCs/>
        </w:rPr>
        <w:t xml:space="preserve">Fremdsprachen:</w:t>
      </w:r>
    </w:p>
    <w:p>
      <w:pPr>
        <w:keepNext/>
        <w:pStyle w:val="Compact"/>
        <w:numPr>
          <w:ilvl w:val="0"/>
          <w:numId w:val="1049"/>
        </w:numPr>
      </w:pPr>
      <w:r>
        <w:t xml:space="preserve">Deutsch: Muttersprache</w:t>
      </w:r>
    </w:p>
    <w:p>
      <w:pPr>
        <w:keepNext/>
        <w:pStyle w:val="Compact"/>
        <w:numPr>
          <w:ilvl w:val="0"/>
          <w:numId w:val="1049"/>
        </w:numPr>
      </w:pPr>
      <w:r>
        <w:t xml:space="preserve">Englisch: Fließend in Wort und Schrift</w:t>
      </w:r>
    </w:p>
    <w:p>
      <w:pPr>
        <w:pStyle w:val="FirstParagraph"/>
      </w:pPr>
      <w:r>
        <w:rPr>
          <w:b/>
          <w:bCs/>
        </w:rPr>
        <w:t xml:space="preserve">Veröffentlichungen:</w:t>
      </w:r>
    </w:p>
    <w:p>
      <w:pPr>
        <w:keepNext/>
        <w:pStyle w:val="Compact"/>
        <w:numPr>
          <w:ilvl w:val="0"/>
          <w:numId w:val="1050"/>
        </w:numPr>
      </w:pPr>
      <w:r>
        <w:t xml:space="preserve">Dissertation, fünf Veröffentlichungen, ein Patent, eine Erfindungsmeldung</w:t>
      </w:r>
    </w:p>
    <w:bookmarkEnd w:id="7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340" w:hanging="198"/>
      </w:pPr>
    </w:lvl>
    <w:lvl w:ilvl="1">
      <w:numFmt w:val="bullet"/>
      <w:lvlText w:val=" "/>
      <w:lvlJc w:val="left"/>
      <w:pPr>
        <w:ind w:left="681" w:hanging="227"/>
      </w:pPr>
    </w:lvl>
    <w:lvl w:ilvl="2">
      <w:numFmt w:val="bullet"/>
      <w:lvlText w:val=" "/>
      <w:lvlJc w:val="left"/>
      <w:pPr>
        <w:ind w:left="993" w:hanging="227"/>
      </w:pPr>
    </w:lvl>
    <w:lvl w:ilvl="3">
      <w:numFmt w:val="bullet"/>
      <w:lvlText w:val=" "/>
      <w:lvlJc w:val="left"/>
      <w:pPr>
        <w:ind w:left="1305" w:hanging="227"/>
      </w:pPr>
    </w:lvl>
    <w:lvl w:ilvl="4">
      <w:numFmt w:val="bullet"/>
      <w:lvlText w:val=" "/>
      <w:lvlJc w:val="left"/>
      <w:pPr>
        <w:ind w:left="1617" w:hanging="227"/>
      </w:pPr>
    </w:lvl>
    <w:lvl w:ilvl="5">
      <w:numFmt w:val="bullet"/>
      <w:lvlText w:val=" "/>
      <w:lvlJc w:val="left"/>
      <w:pPr>
        <w:ind w:left="1929" w:hanging="227"/>
      </w:pPr>
    </w:lvl>
    <w:lvl w:ilvl="6">
      <w:numFmt w:val="bullet"/>
      <w:lvlText w:val=" "/>
      <w:lvlJc w:val="left"/>
      <w:pPr>
        <w:ind w:left="2241" w:hanging="227"/>
      </w:pPr>
    </w:lvl>
    <w:lvl w:ilvl="7">
      <w:numFmt w:val="bullet"/>
      <w:lvlText w:val=" "/>
      <w:lvlJc w:val="left"/>
      <w:pPr>
        <w:ind w:left="2553" w:hanging="227"/>
      </w:pPr>
    </w:lvl>
    <w:lvl w:ilvl="8">
      <w:numFmt w:val="bullet"/>
      <w:lvlText w:val=" "/>
      <w:lvlJc w:val="left"/>
      <w:pPr>
        <w:ind w:left="2865" w:hanging="227"/>
      </w:pPr>
    </w:lvl>
  </w:abstractNum>
  <w:abstractNum w:abstractNumId="991">
    <w:nsid w:val="0000A991"/>
    <w:multiLevelType w:val="multilevel"/>
    <w:lvl w:ilvl="0">
      <w:numFmt w:val="bullet"/>
      <w:lvlText w:val=""/>
      <w:lvlJc w:val="left"/>
      <w:pPr>
        <w:ind w:left="340" w:hanging="198"/>
      </w:pPr>
      <w:rPr>
        <w:rFonts w:ascii="Symbol" w:hAnsi="Symbol" w:cs="Symbol" w:hint="default"/>
      </w:rPr>
    </w:lvl>
    <w:lvl w:ilvl="1">
      <w:numFmt w:val="bullet"/>
      <w:lvlText w:val="o"/>
      <w:lvlJc w:val="left"/>
      <w:pPr>
        <w:ind w:left="681" w:hanging="227"/>
      </w:pPr>
      <w:rPr>
        <w:rFonts w:ascii="Courier New" w:hAnsi="Courier New" w:cs="Courier New" w:hint="default"/>
      </w:rPr>
    </w:lvl>
    <w:lvl w:ilvl="2">
      <w:numFmt w:val="bullet"/>
      <w:lvlText w:val=""/>
      <w:lvlJc w:val="left"/>
      <w:pPr>
        <w:ind w:left="993" w:hanging="227"/>
      </w:pPr>
      <w:rPr>
        <w:rFonts w:ascii="Wingdings" w:hAnsi="Wingdings" w:cs="Wingdings" w:hint="default"/>
      </w:rPr>
    </w:lvl>
    <w:lvl w:ilvl="3">
      <w:numFmt w:val="bullet"/>
      <w:lvlText w:val=""/>
      <w:lvlJc w:val="left"/>
      <w:pPr>
        <w:ind w:left="1305" w:hanging="227"/>
      </w:pPr>
      <w:rPr>
        <w:rFonts w:ascii="Symbol" w:hAnsi="Symbol" w:cs="Symbol" w:hint="default"/>
      </w:rPr>
    </w:lvl>
    <w:lvl w:ilvl="4">
      <w:numFmt w:val="bullet"/>
      <w:lvlText w:val="o"/>
      <w:lvlJc w:val="left"/>
      <w:pPr>
        <w:ind w:left="1617" w:hanging="227"/>
      </w:pPr>
      <w:rPr>
        <w:rFonts w:ascii="Courier New" w:hAnsi="Courier New" w:cs="Courier New" w:hint="default"/>
      </w:rPr>
    </w:lvl>
    <w:lvl w:ilvl="5">
      <w:numFmt w:val="bullet"/>
      <w:lvlText w:val=""/>
      <w:lvlJc w:val="left"/>
      <w:pPr>
        <w:ind w:left="1929" w:hanging="227"/>
      </w:pPr>
      <w:rPr>
        <w:rFonts w:ascii="Wingdings" w:hAnsi="Wingdings" w:cs="Wingdings" w:hint="default"/>
      </w:rPr>
    </w:lvl>
    <w:lvl w:ilvl="6">
      <w:numFmt w:val="bullet"/>
      <w:lvlText w:val=""/>
      <w:lvlJc w:val="left"/>
      <w:pPr>
        <w:ind w:left="2241" w:hanging="227"/>
      </w:pPr>
      <w:rPr>
        <w:rFonts w:ascii="Symbol" w:hAnsi="Symbol" w:cs="Symbol" w:hint="default"/>
      </w:rPr>
    </w:lvl>
    <w:lvl w:ilvl="7">
      <w:numFmt w:val="bullet"/>
      <w:lvlText w:val="o"/>
      <w:lvlJc w:val="left"/>
      <w:pPr>
        <w:ind w:left="2553" w:hanging="227"/>
      </w:pPr>
      <w:rPr>
        <w:rFonts w:ascii="Courier New" w:hAnsi="Courier New" w:cs="Courier New" w:hint="default"/>
      </w:rPr>
    </w:lvl>
    <w:lvl w:ilvl="8">
      <w:numFmt w:val="bullet"/>
      <w:lvlText w:val=""/>
      <w:lvlJc w:val="left"/>
      <w:pPr>
        <w:ind w:left="2865" w:hanging="227"/>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3C68AE"/>
      <w:sz w:val="30"/>
      <w:szCs w:val="30"/>
      <w:b/>
      <w:bCs/>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3C68AE"/>
      <w:sz w:val="26"/>
      <w:szCs w:val="26"/>
      <w:b/>
      <w:bCs/>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3C68AE"/>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val="3C68AE"/>
      <w:sz w:val="40"/>
      <w:szCs w:val="40"/>
      <w:b/>
      <w:bCs/>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val="3C68AE"/>
      <w:sz w:val="32"/>
      <w:szCs w:val="32"/>
      <w:b/>
      <w:bCs/>
    </w:rPr>
  </w:style>
  <w:style w:customStyle="1" w:styleId="Heading3Char" w:type="character">
    <w:name w:val="Heading 3 Char"/>
    <w:basedOn w:val="DefaultParagraphFont"/>
    <w:link w:val="Heading3"/>
    <w:uiPriority w:val="9"/>
    <w:semiHidden/>
    <w:rsid w:val="00A10FD9"/>
    <w:rPr>
      <w:rFonts w:cstheme="majorBidi" w:eastAsiaTheme="majorEastAsia"/>
      <w:color w:val="3C68AE"/>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 Type="http://schemas.openxmlformats.org/officeDocument/2006/relationships/image" Id="rId49" Target="media/rId49.jpg" /><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_rels/footnotes.xml.rels><?xml version="1.0" encoding="UTF-8"?><Relationships xmlns="http://schemas.openxmlformats.org/package/2006/relationships"><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2026-04-28T19:12:16Z</dcterms:created>
  <dcterms:modified xsi:type="dcterms:W3CDTF">2026-04-28T19:12:16Z</dcterms:modified>
</cp:coreProperties>
</file>

<file path=docProps/custom.xml><?xml version="1.0" encoding="utf-8"?>
<Properties xmlns="http://schemas.openxmlformats.org/officeDocument/2006/custom-properties" xmlns:vt="http://schemas.openxmlformats.org/officeDocument/2006/docPropsVTypes"/>
</file>