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66" w:name="lebenslauf-dr.-ing.-thomas-langer"/>
    <w:p>
      <w:pPr>
        <w:pStyle w:val="Heading1"/>
      </w:pPr>
      <w:r>
        <w:t xml:space="preserve">Lebenslauf Dr.-Ing. Thomas Langer</w:t>
      </w:r>
    </w:p>
    <w:bookmarkStart w:id="42" w:name="kontaktdaten"/>
    <w:p>
      <w:pPr>
        <w:pStyle w:val="Heading2"/>
      </w:pPr>
      <w:r>
        <w:t xml:space="preserve">Kontaktdaten</w:t>
      </w:r>
    </w:p>
    <w:p>
      <w:pPr>
        <w:spacing w:before="0" w:after="80"/>
        <w:ind w:right="4196"/>
        <w:pBdr>
          <w:bottom w:val="single" w:sz="10" w:space="2" w:color="000000"/>
        </w:pBdr>
        <w:rPr>
          <w:sz w:val="2"/>
          <w:szCs w:val="2"/>
        </w:rPr>
      </w:pPr>
    </w:p>
    <w:p>
      <w:pPr>
        <w:keepNext/>
        <w:pStyle w:val="Compact"/>
        <w:numPr>
          <w:ilvl w:val="0"/>
          <w:numId w:val="1001"/>
        </w:numPr>
      </w:pPr>
      <w:r>
        <w:t xml:space="preserve">E-Mail: Thomas.Langer@destengs.com</w:t>
      </w:r>
    </w:p>
    <w:p>
      <w:pPr>
        <w:keepNext/>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keepNext/>
        <w:pStyle w:val="Compact"/>
        <w:numPr>
          <w:ilvl w:val="0"/>
          <w:numId w:val="1001"/>
        </w:numPr>
      </w:pPr>
      <w:r>
        <w:t xml:space="preserve">Website: https://destengs.com</w:t>
      </w:r>
    </w:p>
    <w:p>
      <w:pPr>
        <w:keepNext/>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bookmarkEnd w:id="42"/>
    <w:bookmarkStart w:id="43" w:name="zusammenfassung"/>
    <w:p>
      <w:pPr>
        <w:pStyle w:val="Heading2"/>
      </w:pPr>
      <w:r>
        <w:t xml:space="preserve">Zusammenfassung</w:t>
      </w:r>
    </w:p>
    <w:p>
      <w:pPr>
        <w:spacing w:before="0" w:after="80"/>
        <w:ind w:right="4196"/>
        <w:pBdr>
          <w:bottom w:val="single" w:sz="10" w:space="2" w:color="000000"/>
        </w:pBdr>
        <w:rPr>
          <w:sz w:val="2"/>
          <w:szCs w:val="2"/>
        </w:rPr>
      </w:pPr>
    </w:p>
    <w:p>
      <w:pPr>
        <w:keepNext/>
        <w:pStyle w:val="Compact"/>
        <w:numPr>
          <w:ilvl w:val="0"/>
          <w:numId w:val="1002"/>
        </w:numPr>
      </w:pPr>
      <w:r>
        <w:t xml:space="preserve">TÜV-zertifizierter AI Consultant und promovierter Ingenieur mit über 30 Jahren Erfahrung in Entwicklung, Test und System Integration von Elektronik</w:t>
      </w:r>
    </w:p>
    <w:p>
      <w:pPr>
        <w:keepNext/>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keepNext/>
        <w:pStyle w:val="Compact"/>
        <w:numPr>
          <w:ilvl w:val="0"/>
          <w:numId w:val="1002"/>
        </w:numPr>
      </w:pPr>
      <w:r>
        <w:t xml:space="preserve">Erfolgreich tätig in Großkonzernen, Startups und Forschungsinstituten aus Industrie-Elektronik, Automotive, Halbleiter und Telekommunikation</w:t>
      </w:r>
    </w:p>
    <w:p>
      <w:pPr>
        <w:keepNext/>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bookmarkEnd w:id="43"/>
    <w:bookmarkStart w:id="54" w:name="projekte-als-freiberuflicher-consultant"/>
    <w:p>
      <w:pPr>
        <w:pStyle w:val="Heading2"/>
      </w:pPr>
      <w:r>
        <w:t xml:space="preserve">Projekte als freiberuflicher Consultant</w:t>
      </w:r>
    </w:p>
    <w:p>
      <w:pPr>
        <w:spacing w:before="0" w:after="80"/>
        <w:ind w:right="4196"/>
        <w:pBdr>
          <w:bottom w:val="single" w:sz="10" w:space="2" w:color="000000"/>
        </w:pBdr>
        <w:rPr>
          <w:sz w:val="2"/>
          <w:szCs w:val="2"/>
        </w:rPr>
      </w:pPr>
    </w:p>
    <w:bookmarkStart w:id="44" w:name="X267cddbd9fa079e6a17fac11f918f0a39b60c52"/>
    <w:p>
      <w:pPr>
        <w:pStyle w:val="Heading3"/>
      </w:pPr>
      <w:r>
        <w:t xml:space="preserve">Seit Juli 2011 — Inhaber von DesTEngS Dr.-Ing. Thomas Langer, nahe München:</w:t>
      </w:r>
    </w:p>
    <w:p>
      <w:pPr>
        <w:keepNext/>
        <w:pStyle w:val="Compact"/>
        <w:numPr>
          <w:ilvl w:val="0"/>
          <w:numId w:val="1003"/>
        </w:numPr>
      </w:pPr>
      <w:r>
        <w:t xml:space="preserve">KI-Potenzialanalyse-Workshops</w:t>
      </w:r>
    </w:p>
    <w:p>
      <w:pPr>
        <w:keepNext/>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keepNext/>
        <w:pStyle w:val="Compact"/>
        <w:numPr>
          <w:ilvl w:val="0"/>
          <w:numId w:val="1003"/>
        </w:numPr>
      </w:pPr>
      <w:r>
        <w:t xml:space="preserve">KI-Beratungen</w:t>
      </w:r>
    </w:p>
    <w:p>
      <w:pPr>
        <w:keepNext/>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bookmarkEnd w:id="44"/>
    <w:bookmarkStart w:id="45" w:name="X58b3dfed2e720ea4d295d4ab3d398abfeb664a7"/>
    <w:p>
      <w:pPr>
        <w:pStyle w:val="Heading3"/>
      </w:pPr>
      <w:r>
        <w:t xml:space="preserve">Aug. 2024 – Feb. 2026 — Consultant bei ASMPT (Industrielle Bestückungsmaschinen), System Integration Abteilung R&amp;D 38, München:</w:t>
      </w:r>
    </w:p>
    <w:p>
      <w:pPr>
        <w:keepNext/>
        <w:pStyle w:val="Compact"/>
        <w:numPr>
          <w:ilvl w:val="0"/>
          <w:numId w:val="1005"/>
        </w:numPr>
      </w:pPr>
      <w:r>
        <w:t xml:space="preserve">KI-Workshop</w:t>
      </w:r>
    </w:p>
    <w:p>
      <w:pPr>
        <w:keepNext/>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keepNext/>
        <w:pStyle w:val="Compact"/>
        <w:numPr>
          <w:ilvl w:val="0"/>
          <w:numId w:val="1005"/>
        </w:numPr>
      </w:pPr>
      <w:r>
        <w:t xml:space="preserve">Design eines Python Clients zur Analyse von Nachrichten im ASMPT-eigenen Ethernet Feldbus Protokoll</w:t>
      </w:r>
    </w:p>
    <w:p>
      <w:pPr>
        <w:keepNext/>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bookmarkEnd w:id="45"/>
    <w:bookmarkStart w:id="46" w:name="Xf91593b1a371f2c543b3c49df90c32ef651c8ae"/>
    <w:p>
      <w:pPr>
        <w:pStyle w:val="Heading3"/>
      </w:pPr>
      <w:r>
        <w:t xml:space="preserve">Sep. 2025 – Feb. 2026 — Projekt „Kischdle”, Geschäftskonzept von 2 potenziellen Gründern:</w:t>
      </w:r>
    </w:p>
    <w:p>
      <w:pPr>
        <w:keepNext/>
        <w:pStyle w:val="Compact"/>
        <w:numPr>
          <w:ilvl w:val="0"/>
          <w:numId w:val="1008"/>
        </w:numPr>
      </w:pPr>
      <w:r>
        <w:t xml:space="preserve">On-Premise KI-System mit Consumer-GPU und Retrieval Augmented Generation (RAG)</w:t>
      </w:r>
    </w:p>
    <w:p>
      <w:pPr>
        <w:keepNext/>
        <w:pStyle w:val="Compact"/>
        <w:numPr>
          <w:ilvl w:val="1"/>
          <w:numId w:val="1009"/>
        </w:numPr>
      </w:pPr>
      <w:r>
        <w:t xml:space="preserve">Technische Machbarkeitsabschätzung, Marktanalyse, Zielgruppendefinition, Schätzung des adressierbaren Markts und Konzepterstellung</w:t>
      </w:r>
    </w:p>
    <w:p>
      <w:pPr>
        <w:keepNext/>
        <w:pStyle w:val="Compact"/>
        <w:numPr>
          <w:ilvl w:val="1"/>
          <w:numId w:val="1009"/>
        </w:numPr>
      </w:pPr>
      <w:r>
        <w:t xml:space="preserve">Auswahl und Kauf der Proof-of-Concept Hardware, Implementierung des KI-System Inference-Teils mit Nvidia-GPU, OpenAI gpt-oss-20b LLM, Ollama und Open WebUI, Performance-Tests</w:t>
      </w:r>
    </w:p>
    <w:p>
      <w:pPr>
        <w:keepNext/>
        <w:pStyle w:val="Compact"/>
        <w:numPr>
          <w:ilvl w:val="1"/>
          <w:numId w:val="1009"/>
        </w:numPr>
      </w:pPr>
      <w:r>
        <w:t xml:space="preserve">Erweiterung durch PyTorch-Umgebung für multimodale KI-Modelle (Bild und Text), Evaluierungen des Inference-Modells Qwen3-VL-8B und des Embedding-Modells tomoro-colqwen3-embed-4b</w:t>
      </w:r>
    </w:p>
    <w:p>
      <w:pPr>
        <w:keepNext/>
        <w:pStyle w:val="Compact"/>
        <w:numPr>
          <w:ilvl w:val="1"/>
          <w:numId w:val="1009"/>
        </w:numPr>
      </w:pPr>
      <w:r>
        <w:t xml:space="preserve">Evaluierung von Langflow für Workflow-Automatisierungen mit AI-Agents</w:t>
      </w:r>
    </w:p>
    <w:bookmarkEnd w:id="46"/>
    <w:bookmarkStart w:id="47" w:name="X0d58c1d7aab1c2e547fb28a44753a5ec0e9d57a"/>
    <w:p>
      <w:pPr>
        <w:pStyle w:val="Heading3"/>
      </w:pPr>
      <w:r>
        <w:t xml:space="preserve">Jan. – Feb. 2026 — Consultant bei Lumiz (Marketing-Dienstleister), Taufkirchen:</w:t>
      </w:r>
    </w:p>
    <w:p>
      <w:pPr>
        <w:keepNext/>
        <w:pStyle w:val="Compact"/>
        <w:numPr>
          <w:ilvl w:val="0"/>
          <w:numId w:val="1010"/>
        </w:numPr>
      </w:pPr>
      <w:r>
        <w:t xml:space="preserve">KI-gestützte Automatisierung der Einkäufe auf einer Druckerei-Website mit UI.Vision</w:t>
      </w:r>
    </w:p>
    <w:p>
      <w:pPr>
        <w:keepNext/>
        <w:pStyle w:val="Compact"/>
        <w:numPr>
          <w:ilvl w:val="1"/>
          <w:numId w:val="1011"/>
        </w:numPr>
      </w:pPr>
      <w:r>
        <w:t xml:space="preserve">Import der Daten im Lumiz-Format, Auswahl der Lieferzeiten und Bestelloptionen, Ausführung der Bestellvorgänge inklusive Bezahlung</w:t>
      </w:r>
    </w:p>
    <w:p>
      <w:pPr>
        <w:keepNext/>
        <w:pStyle w:val="Compact"/>
        <w:numPr>
          <w:ilvl w:val="1"/>
          <w:numId w:val="1011"/>
        </w:numPr>
      </w:pPr>
      <w:r>
        <w:t xml:space="preserve">Hochladen der Druckdaten aus der Lumiz-Cloud</w:t>
      </w:r>
    </w:p>
    <w:p>
      <w:pPr>
        <w:keepNext/>
        <w:pStyle w:val="Compact"/>
        <w:numPr>
          <w:ilvl w:val="1"/>
          <w:numId w:val="1011"/>
        </w:numPr>
      </w:pPr>
      <w:r>
        <w:t xml:space="preserve">Protokollierung der Vorgänge</w:t>
      </w:r>
    </w:p>
    <w:bookmarkEnd w:id="47"/>
    <w:bookmarkStart w:id="48" w:name="X2af5c84cb238456999076b5b26dea1a5650854f"/>
    <w:p>
      <w:pPr>
        <w:pStyle w:val="Heading3"/>
      </w:pPr>
      <w:r>
        <w:t xml:space="preserve">Nov. 2020 – Mai 2024 — Consultant bei ASMPT (Industrielle Bestückungsmaschinen), System Integration Abteilung R&amp;D 38, München:</w:t>
      </w:r>
    </w:p>
    <w:p>
      <w:pPr>
        <w:keepNext/>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keepNext/>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keepNext/>
        <w:pStyle w:val="Compact"/>
        <w:numPr>
          <w:ilvl w:val="1"/>
          <w:numId w:val="1016"/>
        </w:numPr>
      </w:pPr>
      <w:r>
        <w:t xml:space="preserve">Optimierung des Aufbaus für Datenaufzeichnung bis zur vollen Gigabit Ethernet Datenrate</w:t>
      </w:r>
    </w:p>
    <w:p>
      <w:pPr>
        <w:keepNext/>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bookmarkEnd w:id="48"/>
    <w:bookmarkStart w:id="49" w:name="Xda2aa36772f782f506e7f663b9622f9d4bdbca5"/>
    <w:p>
      <w:pPr>
        <w:pStyle w:val="Heading3"/>
      </w:pPr>
      <w:r>
        <w:t xml:space="preserve">Aug. 2018 – Juli 2020 — Consultant bei Magna Electronics Europe (Automobil-Zulieferer), München:</w:t>
      </w:r>
    </w:p>
    <w:p>
      <w:pPr>
        <w:keepNext/>
        <w:pStyle w:val="Compact"/>
        <w:numPr>
          <w:ilvl w:val="0"/>
          <w:numId w:val="1017"/>
        </w:numPr>
      </w:pPr>
      <w:r>
        <w:t xml:space="preserve">LIDAR Compute Module</w:t>
      </w:r>
    </w:p>
    <w:p>
      <w:pPr>
        <w:keepNext/>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keepNext/>
        <w:pStyle w:val="Compact"/>
        <w:numPr>
          <w:ilvl w:val="1"/>
          <w:numId w:val="1019"/>
        </w:numPr>
      </w:pPr>
      <w:r>
        <w:t xml:space="preserve">Überwachung der xDiagnostics Implementierung in der AUTOSAR LIDAR Compute Module SW und in der Vector CANoe-basierten Tester SW, CANoe GUI Design, CAPL Code Erstellung</w:t>
      </w:r>
    </w:p>
    <w:p>
      <w:pPr>
        <w:keepNext/>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bookmarkEnd w:id="49"/>
    <w:bookmarkStart w:id="50" w:name="Xc8dac38e3bcfbebb1f7d7cd378626c2c96724d0"/>
    <w:p>
      <w:pPr>
        <w:pStyle w:val="Heading3"/>
      </w:pPr>
      <w:r>
        <w:t xml:space="preserve">Nov. 2014 – Juli 2018 — Consultant bei Infineon, Abteilung DES TCP PCB, Großraum München:</w:t>
      </w:r>
    </w:p>
    <w:p>
      <w:pPr>
        <w:keepNext/>
        <w:pStyle w:val="Compact"/>
        <w:numPr>
          <w:ilvl w:val="0"/>
          <w:numId w:val="1020"/>
        </w:numPr>
      </w:pPr>
      <w:r>
        <w:t xml:space="preserve">Signal Integrity und Power Integrity Simulationen von IC Packages und PCBs</w:t>
      </w:r>
    </w:p>
    <w:p>
      <w:pPr>
        <w:keepNext/>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keepNext/>
        <w:pStyle w:val="Compact"/>
        <w:numPr>
          <w:ilvl w:val="0"/>
          <w:numId w:val="1020"/>
        </w:numPr>
      </w:pPr>
      <w:r>
        <w:t xml:space="preserve">Simulationen und Optimierungen der Chip-PCB-Übergänge von 77 GHz ADAS Radar MMICs</w:t>
      </w:r>
    </w:p>
    <w:p>
      <w:pPr>
        <w:keepNext/>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bookmarkEnd w:id="50"/>
    <w:bookmarkStart w:id="51" w:name="X1d7bde3c232da97e4cf142f0549e989cbb49074"/>
    <w:p>
      <w:pPr>
        <w:pStyle w:val="Heading3"/>
      </w:pPr>
      <w:r>
        <w:t xml:space="preserve">Apr. – Aug. 2015 — Consultant bei Kathrein.net.tech (Ubidyne-Nachfolger), Ulm:</w:t>
      </w:r>
    </w:p>
    <w:p>
      <w:pPr>
        <w:keepNext/>
        <w:pStyle w:val="Compact"/>
        <w:numPr>
          <w:ilvl w:val="0"/>
          <w:numId w:val="1022"/>
        </w:numPr>
      </w:pPr>
      <w:r>
        <w:t xml:space="preserve">Inbetriebnahme, Evaluierung und Optimierung von Transceiver Modulen</w:t>
      </w:r>
    </w:p>
    <w:p>
      <w:pPr>
        <w:keepNext/>
        <w:pStyle w:val="Compact"/>
        <w:numPr>
          <w:ilvl w:val="0"/>
          <w:numId w:val="1022"/>
        </w:numPr>
      </w:pPr>
      <w:r>
        <w:t xml:space="preserve">Automatisierung von HF-Tests mit Matlab und Ruby</w:t>
      </w:r>
    </w:p>
    <w:bookmarkEnd w:id="51"/>
    <w:bookmarkStart w:id="52" w:name="X6667e4f0a8e06ced582b959ad71be4d550ff4f1"/>
    <w:p>
      <w:pPr>
        <w:pStyle w:val="Heading3"/>
      </w:pPr>
      <w:r>
        <w:t xml:space="preserve">Sep. 2011 – Juli 2014 — Consultant bei Alcatel-Lucent, Abteilung MS/E, Stuttgart:</w:t>
      </w:r>
    </w:p>
    <w:p>
      <w:pPr>
        <w:keepNext/>
        <w:pStyle w:val="Compact"/>
        <w:numPr>
          <w:ilvl w:val="0"/>
          <w:numId w:val="1023"/>
        </w:numPr>
      </w:pPr>
      <w:r>
        <w:t xml:space="preserve">Projekt Light Radio AAA: Aktives Antennen Array für 2.5 GHz LTE</w:t>
      </w:r>
    </w:p>
    <w:p>
      <w:pPr>
        <w:keepNext/>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keepNext/>
        <w:pStyle w:val="Compact"/>
        <w:numPr>
          <w:ilvl w:val="1"/>
          <w:numId w:val="1025"/>
        </w:numPr>
      </w:pPr>
      <w:r>
        <w:t xml:space="preserve">Verifikation des Listen-Before-Talk Kanalzugriffsmechanismus nach ETSI Adaptivity Spezifikationen und Unterstützung der ETSI Zertifizierung</w:t>
      </w:r>
    </w:p>
    <w:p>
      <w:pPr>
        <w:keepNext/>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bookmarkEnd w:id="52"/>
    <w:bookmarkStart w:id="53" w:name="Xb0713520076a761d5493317d72053f42beb4161"/>
    <w:p>
      <w:pPr>
        <w:pStyle w:val="Heading3"/>
      </w:pPr>
      <w:r>
        <w:t xml:space="preserve">Juli 2011 — Gründung von DesTEngS Dr.-Ing. Thomas Langer (Ingenieurbüro), nahe Ulm</w:t>
      </w:r>
    </w:p>
    <w:bookmarkEnd w:id="53"/>
    <w:bookmarkEnd w:id="54"/>
    <w:bookmarkStart w:id="62" w:name="X5ce59aaf3909944ce659cd446e8d02c342eac4e"/>
    <w:p>
      <w:pPr>
        <w:pStyle w:val="Heading2"/>
      </w:pPr>
      <w:r>
        <w:t xml:space="preserve">Berufliche Stationen vor der Selbständigkeit</w:t>
      </w:r>
    </w:p>
    <w:p>
      <w:pPr>
        <w:spacing w:before="0" w:after="80"/>
        <w:ind w:right="4196"/>
        <w:pBdr>
          <w:bottom w:val="single" w:sz="10" w:space="2" w:color="000000"/>
        </w:pBdr>
        <w:rPr>
          <w:sz w:val="2"/>
          <w:szCs w:val="2"/>
        </w:rPr>
      </w:pPr>
    </w:p>
    <w:bookmarkStart w:id="55" w:name="X9baae6889dc57f953be5274ebca734e43958358"/>
    <w:p>
      <w:pPr>
        <w:pStyle w:val="Heading3"/>
      </w:pPr>
      <w:r>
        <w:t xml:space="preserve">Juli 2006 – Juni 2011 — Head of RF Integration bei Ubidyne (Startup, ca. 60 Mitarbeiter, aktive Antennen für Mobilfunk-Basisstationen), Abteilung Engineering, Ulm:</w:t>
      </w:r>
    </w:p>
    <w:p>
      <w:pPr>
        <w:keepNext/>
        <w:pStyle w:val="Compact"/>
        <w:numPr>
          <w:ilvl w:val="0"/>
          <w:numId w:val="1026"/>
        </w:numPr>
      </w:pPr>
      <w:r>
        <w:t xml:space="preserve">Aufbau und Leitung einer Gruppe mit bis zu 10 Mitarbeitern</w:t>
      </w:r>
    </w:p>
    <w:p>
      <w:pPr>
        <w:keepNext/>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keepNext/>
        <w:pStyle w:val="Compact"/>
        <w:numPr>
          <w:ilvl w:val="1"/>
          <w:numId w:val="1028"/>
        </w:numPr>
      </w:pPr>
      <w:r>
        <w:t xml:space="preserve">Ferdinand-Braun-Institut (GaAs Flip-Chip Montage auf Keramiksubstraten)</w:t>
      </w:r>
    </w:p>
    <w:p>
      <w:pPr>
        <w:keepNext/>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bookmarkEnd w:id="55"/>
    <w:bookmarkStart w:id="56" w:name="X41295e60ea82139be68f8d93d3d21da62e00282"/>
    <w:p>
      <w:pPr>
        <w:pStyle w:val="Heading3"/>
      </w:pPr>
      <w:r>
        <w:t xml:space="preserve">Jan. 2003 – Juni 2006 — Entwicklungsingenieur bei Toshiba Electronics Europe, European LSI Development and Engineering Centre, Düsseldorf:</w:t>
      </w:r>
    </w:p>
    <w:p>
      <w:pPr>
        <w:keepNext/>
        <w:pStyle w:val="Compact"/>
        <w:numPr>
          <w:ilvl w:val="0"/>
          <w:numId w:val="1029"/>
        </w:numPr>
      </w:pPr>
      <w:r>
        <w:t xml:space="preserve">Mitarbeit in den Normierungsgremien OIF und MIPI</w:t>
      </w:r>
    </w:p>
    <w:p>
      <w:pPr>
        <w:keepNext/>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keepNext/>
        <w:pStyle w:val="Compact"/>
        <w:numPr>
          <w:ilvl w:val="0"/>
          <w:numId w:val="1029"/>
        </w:numPr>
      </w:pPr>
      <w:r>
        <w:t xml:space="preserve">Evaluierung und Auswahl von HF Entwicklungssoftware</w:t>
      </w:r>
    </w:p>
    <w:p>
      <w:pPr>
        <w:keepNext/>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bookmarkEnd w:id="56"/>
    <w:bookmarkStart w:id="57"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keepNext/>
        <w:pStyle w:val="Compact"/>
        <w:numPr>
          <w:ilvl w:val="0"/>
          <w:numId w:val="1031"/>
        </w:numPr>
      </w:pPr>
      <w:r>
        <w:t xml:space="preserve">Entzerrer-ICs für Backplane-Systeme bis 12,5 Gb/s:</w:t>
      </w:r>
    </w:p>
    <w:p>
      <w:pPr>
        <w:keepNext/>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keepNext/>
        <w:pStyle w:val="Compact"/>
        <w:numPr>
          <w:ilvl w:val="1"/>
          <w:numId w:val="1033"/>
        </w:numPr>
      </w:pPr>
      <w:r>
        <w:t xml:space="preserve">Betreuung von Kooperationen mit zwei Universitäten</w:t>
      </w:r>
    </w:p>
    <w:p>
      <w:pPr>
        <w:keepNext/>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bookmarkEnd w:id="57"/>
    <w:bookmarkStart w:id="58" w:name="Xb8358c1b4895486639aaf60cd80e982e9fbaf81"/>
    <w:p>
      <w:pPr>
        <w:pStyle w:val="Heading3"/>
      </w:pPr>
      <w:r>
        <w:t xml:space="preserve">Nov. 1998 – Nov. 2000 — Entwicklungsingenieur bei Siemens, Bereich Information and Communication Networks, München:</w:t>
      </w:r>
    </w:p>
    <w:p>
      <w:pPr>
        <w:keepNext/>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keepNext/>
        <w:pStyle w:val="Compact"/>
        <w:numPr>
          <w:ilvl w:val="0"/>
          <w:numId w:val="1034"/>
        </w:numPr>
      </w:pPr>
      <w:r>
        <w:t xml:space="preserve">Qualifizierung und Fertigungseinführung eines 10 GHz VCOs</w:t>
      </w:r>
    </w:p>
    <w:p>
      <w:pPr>
        <w:keepNext/>
        <w:pStyle w:val="Compact"/>
        <w:numPr>
          <w:ilvl w:val="0"/>
          <w:numId w:val="1034"/>
        </w:numPr>
      </w:pPr>
      <w:r>
        <w:t xml:space="preserve">Layout und Aufbautechnik von 40 Gb/s High Speed Digital Modulen für Faseroptische Systeme</w:t>
      </w:r>
    </w:p>
    <w:bookmarkEnd w:id="58"/>
    <w:bookmarkStart w:id="59" w:name="X8495c9e8fb90ffebdd91a3f3d03e3804f9c6d4b"/>
    <w:p>
      <w:pPr>
        <w:pStyle w:val="Heading3"/>
      </w:pPr>
      <w:r>
        <w:t xml:space="preserve">Okt. 1994 – Okt. 1998 — Wissenschaftlicher Mitarbeiter am Ferdinand-Braun-Institut für Höchstfrequenztechnik, Berlin:</w:t>
      </w:r>
    </w:p>
    <w:p>
      <w:pPr>
        <w:keepNext/>
        <w:pStyle w:val="Compact"/>
        <w:numPr>
          <w:ilvl w:val="0"/>
          <w:numId w:val="1035"/>
        </w:numPr>
      </w:pPr>
      <w:r>
        <w:t xml:space="preserve">Erzeugung elektrischer Transienten im Picosekundenbereich mit einer nichtlinearen Diodenleitung</w:t>
      </w:r>
    </w:p>
    <w:p>
      <w:pPr>
        <w:keepNext/>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keepNext/>
        <w:pStyle w:val="Compact"/>
        <w:numPr>
          <w:ilvl w:val="1"/>
          <w:numId w:val="1036"/>
        </w:numPr>
      </w:pPr>
      <w:r>
        <w:t xml:space="preserve">Programmierung von objektorientierter C++ Software zum De-Embedding von S-Parametern</w:t>
      </w:r>
    </w:p>
    <w:p>
      <w:pPr>
        <w:keepNext/>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bookmarkEnd w:id="59"/>
    <w:bookmarkStart w:id="60" w:name="X1776e600941603d665303d9851a3d0a6c1e3852"/>
    <w:p>
      <w:pPr>
        <w:pStyle w:val="Heading3"/>
      </w:pPr>
      <w:r>
        <w:t xml:space="preserve">Sep. 1992 – Aug. 1993 — Studentische Hilfskraft am Ferdinand-Braun-Institut für Höchstfrequenztechnik, Berlin:</w:t>
      </w:r>
    </w:p>
    <w:p>
      <w:pPr>
        <w:keepNext/>
        <w:pStyle w:val="Compact"/>
        <w:numPr>
          <w:ilvl w:val="0"/>
          <w:numId w:val="1037"/>
        </w:numPr>
      </w:pPr>
      <w:r>
        <w:t xml:space="preserve">Modellierung passiver Elemente, Dioden und Transistoren auf GaAs Wafern</w:t>
      </w:r>
    </w:p>
    <w:bookmarkEnd w:id="60"/>
    <w:bookmarkStart w:id="61" w:name="X1da6b7236d922117686b0882e8a89825a766090"/>
    <w:p>
      <w:pPr>
        <w:pStyle w:val="Heading3"/>
      </w:pPr>
      <w:r>
        <w:t xml:space="preserve">Jan. 1990 – März 1992 — Studentische Hilfskraft am Hahn-Meitner-Institut, Berlin:</w:t>
      </w:r>
    </w:p>
    <w:p>
      <w:pPr>
        <w:keepNext/>
        <w:pStyle w:val="Compact"/>
        <w:numPr>
          <w:ilvl w:val="0"/>
          <w:numId w:val="1038"/>
        </w:numPr>
      </w:pPr>
      <w:r>
        <w:t xml:space="preserve">Entwurf und Aufbau von ultra-breitbandigen Verstärkern 10 KHz – 16 GHz inklusive Entwicklung und Implementierung eines neuen Verfahrens zur Temperaturkompensation</w:t>
      </w:r>
    </w:p>
    <w:bookmarkEnd w:id="61"/>
    <w:bookmarkEnd w:id="62"/>
    <w:bookmarkStart w:id="63" w:name="ausbildung"/>
    <w:p>
      <w:pPr>
        <w:pStyle w:val="Heading2"/>
      </w:pPr>
      <w:r>
        <w:t xml:space="preserve">Ausbildung</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 TÜV-Zertifikat</w:t>
            </w:r>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bookmarkEnd w:id="63"/>
    <w:bookmarkStart w:id="64" w:name="trainings"/>
    <w:p>
      <w:pPr>
        <w:pStyle w:val="Heading2"/>
      </w:pPr>
      <w:r>
        <w:t xml:space="preserve">Trainings</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Dez. 2016</w:t>
            </w:r>
          </w:p>
        </w:tc>
        <w:tc>
          <w:tcPr/>
          <w:p>
            <w:pPr>
              <w:pStyle w:val="Compact"/>
              <w:jc w:val="left"/>
            </w:pPr>
            <w:r>
              <w:t xml:space="preserve">Ansys SIwave Training</w:t>
            </w:r>
          </w:p>
        </w:tc>
      </w:tr>
      <w:tr>
        <w:tc>
          <w:tcPr/>
          <w:p>
            <w:pPr>
              <w:pStyle w:val="Compact"/>
              <w:jc w:val="left"/>
            </w:pPr>
            <w:r>
              <w:t xml:space="preserve">Juni 2016</w:t>
            </w:r>
          </w:p>
        </w:tc>
        <w:tc>
          <w:tcPr/>
          <w:p>
            <w:pPr>
              <w:pStyle w:val="Compact"/>
              <w:jc w:val="left"/>
            </w:pPr>
            <w:r>
              <w:t xml:space="preserve">Keysight High Speed Digital class using ADS</w:t>
            </w:r>
          </w:p>
        </w:tc>
      </w:tr>
      <w:tr>
        <w:tc>
          <w:tcPr/>
          <w:p>
            <w:pPr>
              <w:pStyle w:val="Compact"/>
              <w:jc w:val="left"/>
            </w:pPr>
            <w:r>
              <w:t xml:space="preserve">Jan. 2008</w:t>
            </w:r>
          </w:p>
        </w:tc>
        <w:tc>
          <w:tcPr/>
          <w:p>
            <w:pPr>
              <w:pStyle w:val="Compact"/>
              <w:jc w:val="left"/>
            </w:pPr>
            <w:r>
              <w:t xml:space="preserve">Gustav Käser, „Management”</w:t>
            </w:r>
          </w:p>
        </w:tc>
      </w:tr>
      <w:tr>
        <w:tc>
          <w:tcPr/>
          <w:p>
            <w:pPr>
              <w:pStyle w:val="Compact"/>
              <w:jc w:val="left"/>
            </w:pPr>
            <w:r>
              <w:t xml:space="preserve">Juni 2007</w:t>
            </w:r>
          </w:p>
        </w:tc>
        <w:tc>
          <w:tcPr/>
          <w:p>
            <w:pPr>
              <w:pStyle w:val="Compact"/>
              <w:jc w:val="left"/>
            </w:pPr>
            <w:r>
              <w:t xml:space="preserve">Die Akademie, „Führung und Organisation 1”</w:t>
            </w:r>
          </w:p>
        </w:tc>
      </w:tr>
      <w:tr>
        <w:tc>
          <w:tcPr/>
          <w:p>
            <w:pPr>
              <w:pStyle w:val="Compact"/>
              <w:jc w:val="left"/>
            </w:pPr>
            <w:r>
              <w:t xml:space="preserve">Apr. 2006</w:t>
            </w:r>
          </w:p>
        </w:tc>
        <w:tc>
          <w:tcPr/>
          <w:p>
            <w:pPr>
              <w:pStyle w:val="Compact"/>
              <w:jc w:val="left"/>
            </w:pPr>
            <w:r>
              <w:t xml:space="preserve">Die Akademie, „Gedächtnis- und Konzentrationstraining”</w:t>
            </w:r>
          </w:p>
        </w:tc>
      </w:tr>
      <w:tr>
        <w:tc>
          <w:tcPr/>
          <w:p>
            <w:pPr>
              <w:pStyle w:val="Compact"/>
              <w:jc w:val="left"/>
            </w:pPr>
            <w:r>
              <w:t xml:space="preserve">Mai 2000</w:t>
            </w:r>
          </w:p>
        </w:tc>
        <w:tc>
          <w:tcPr/>
          <w:p>
            <w:pPr>
              <w:pStyle w:val="Compact"/>
              <w:jc w:val="left"/>
            </w:pPr>
            <w:r>
              <w:t xml:space="preserve">Seminar „Persönlichkeitsentwicklung im Team”</w:t>
            </w:r>
          </w:p>
        </w:tc>
      </w:tr>
    </w:tbl>
    <w:bookmarkEnd w:id="64"/>
    <w:bookmarkStart w:id="65" w:name="kenntnisse"/>
    <w:p>
      <w:pPr>
        <w:pStyle w:val="Heading2"/>
      </w:pPr>
      <w:r>
        <w:t xml:space="preserve">Kenntnisse</w:t>
      </w:r>
    </w:p>
    <w:p>
      <w:pPr>
        <w:spacing w:before="0" w:after="80"/>
        <w:ind w:right="4196"/>
        <w:pBdr>
          <w:bottom w:val="single" w:sz="10" w:space="2" w:color="000000"/>
        </w:pBdr>
        <w:rPr>
          <w:sz w:val="2"/>
          <w:szCs w:val="2"/>
        </w:rPr>
      </w:pPr>
    </w:p>
    <w:p>
      <w:pPr>
        <w:pStyle w:val="FirstParagraph"/>
      </w:pPr>
      <w:r>
        <w:rPr>
          <w:b/>
          <w:bCs/>
        </w:rPr>
        <w:t xml:space="preserve">KI:</w:t>
      </w:r>
    </w:p>
    <w:p>
      <w:pPr>
        <w:keepNext/>
        <w:pStyle w:val="Compact"/>
        <w:numPr>
          <w:ilvl w:val="0"/>
          <w:numId w:val="1039"/>
        </w:numPr>
      </w:pPr>
      <w:r>
        <w:t xml:space="preserve">KI-Potenzialanalyse und KI-Strategieentwicklung</w:t>
      </w:r>
    </w:p>
    <w:p>
      <w:pPr>
        <w:keepNext/>
        <w:pStyle w:val="Compact"/>
        <w:numPr>
          <w:ilvl w:val="0"/>
          <w:numId w:val="1039"/>
        </w:numPr>
      </w:pPr>
      <w:r>
        <w:t xml:space="preserve">KI-Schulung</w:t>
      </w:r>
    </w:p>
    <w:p>
      <w:pPr>
        <w:pStyle w:val="Compact"/>
        <w:numPr>
          <w:ilvl w:val="0"/>
          <w:numId w:val="1039"/>
        </w:numPr>
      </w:pPr>
      <w:r>
        <w:t xml:space="preserve">KI-Implementierung</w:t>
      </w:r>
    </w:p>
    <w:p>
      <w:pPr>
        <w:pStyle w:val="Compact"/>
        <w:numPr>
          <w:ilvl w:val="0"/>
          <w:numId w:val="1039"/>
        </w:numPr>
      </w:pPr>
      <w:r>
        <w:t xml:space="preserve">Prompt Engineering, Context Engineering</w:t>
      </w:r>
    </w:p>
    <w:p>
      <w:pPr>
        <w:pStyle w:val="Compact"/>
        <w:numPr>
          <w:ilvl w:val="0"/>
          <w:numId w:val="1039"/>
        </w:numPr>
      </w:pPr>
      <w:r>
        <w:t xml:space="preserve">Multimodale KI (Text, Bild, Audio)</w:t>
      </w:r>
    </w:p>
    <w:p>
      <w:pPr>
        <w:pStyle w:val="Compact"/>
        <w:numPr>
          <w:ilvl w:val="0"/>
          <w:numId w:val="1039"/>
        </w:numPr>
      </w:pPr>
      <w:r>
        <w:t xml:space="preserve">DSGVO-konforme KI-Anwendungen</w:t>
      </w:r>
    </w:p>
    <w:p>
      <w:pPr>
        <w:pStyle w:val="Compact"/>
        <w:numPr>
          <w:ilvl w:val="0"/>
          <w:numId w:val="1039"/>
        </w:numPr>
      </w:pPr>
      <w:r>
        <w:t xml:space="preserve">Natural Language Processing (NLP)</w:t>
      </w:r>
    </w:p>
    <w:p>
      <w:pPr>
        <w:pStyle w:val="Compact"/>
        <w:numPr>
          <w:ilvl w:val="0"/>
          <w:numId w:val="1039"/>
        </w:numPr>
      </w:pPr>
      <w:r>
        <w:t xml:space="preserve">Edge AI / On-Premise KI-Infrastruktur (Auswahl, Aufbau und Betrieb)</w:t>
      </w:r>
    </w:p>
    <w:p>
      <w:pPr>
        <w:pStyle w:val="Compact"/>
        <w:numPr>
          <w:ilvl w:val="0"/>
          <w:numId w:val="1039"/>
        </w:numPr>
      </w:pPr>
      <w:r>
        <w:t xml:space="preserve">KI Software</w:t>
      </w:r>
    </w:p>
    <w:p>
      <w:pPr>
        <w:pStyle w:val="Compact"/>
        <w:numPr>
          <w:ilvl w:val="1"/>
          <w:numId w:val="1040"/>
        </w:numPr>
      </w:pPr>
      <w:r>
        <w:t xml:space="preserve">Miro, Notion, Fireflies.ai, Gamma, Canva, Ollama, PyTorch, Open WebUI</w:t>
      </w:r>
    </w:p>
    <w:p>
      <w:pPr>
        <w:pStyle w:val="Compact"/>
        <w:numPr>
          <w:ilvl w:val="0"/>
          <w:numId w:val="1039"/>
        </w:numPr>
      </w:pPr>
      <w:r>
        <w:t xml:space="preserve">Agentic AI, Coding AI Agent Umgebungen</w:t>
      </w:r>
    </w:p>
    <w:p>
      <w:pPr>
        <w:pStyle w:val="Compact"/>
        <w:numPr>
          <w:ilvl w:val="1"/>
          <w:numId w:val="1041"/>
        </w:numPr>
      </w:pPr>
      <w:r>
        <w:t xml:space="preserve">Manus, Perplexity, Microsoft Visual Studio / Visual Studio Code mit Copilot, VSCodium mit Cline, Claude Code, Claude Cowork</w:t>
      </w:r>
    </w:p>
    <w:p>
      <w:pPr>
        <w:pStyle w:val="Compact"/>
        <w:numPr>
          <w:ilvl w:val="0"/>
          <w:numId w:val="1039"/>
        </w:numPr>
      </w:pPr>
      <w:r>
        <w:t xml:space="preserve">Generative AI (GenAI) / Large Language Models (LLMs): Funktionsweise, Webinterface Chat, Chat via API, Fine-Tuning, On-Premise, LLM-Evaluierung</w:t>
      </w:r>
    </w:p>
    <w:p>
      <w:pPr>
        <w:pStyle w:val="Compact"/>
        <w:numPr>
          <w:ilvl w:val="1"/>
          <w:numId w:val="1042"/>
        </w:numPr>
      </w:pPr>
      <w:r>
        <w:t xml:space="preserve">Praxis-Erfahrung mit OpenAI GPTs, Google Gemini, Anthropic Opus, Sonnet, Haiku sowie On-Premise gpt-oss-20b, Qwen3-VL-8B, Qwen3.5-9B</w:t>
      </w:r>
    </w:p>
    <w:p>
      <w:pPr>
        <w:pStyle w:val="Compact"/>
        <w:numPr>
          <w:ilvl w:val="1"/>
          <w:numId w:val="1042"/>
        </w:numPr>
      </w:pPr>
      <w:r>
        <w:t xml:space="preserve">Supervised Fine-Tuning (SFT) eines gpt-4o-mini LLMs</w:t>
      </w:r>
    </w:p>
    <w:p>
      <w:pPr>
        <w:keepNext/>
        <w:pStyle w:val="Compact"/>
        <w:numPr>
          <w:ilvl w:val="0"/>
          <w:numId w:val="1039"/>
        </w:numPr>
      </w:pPr>
      <w:r>
        <w:t xml:space="preserve">Retrieval Augmented Generation (RAG)</w:t>
      </w:r>
    </w:p>
    <w:p>
      <w:pPr>
        <w:keepNext/>
        <w:pStyle w:val="Compact"/>
        <w:numPr>
          <w:ilvl w:val="1"/>
          <w:numId w:val="1043"/>
        </w:numPr>
      </w:pPr>
      <w:r>
        <w:t xml:space="preserve">Embedding Models, Praxis-Erfahrung mit OpenAI text-embedding-3-small, On-Premise tomoro-colqwen3-embed-4b</w:t>
      </w:r>
    </w:p>
    <w:p>
      <w:pPr>
        <w:pStyle w:val="Compact"/>
        <w:numPr>
          <w:ilvl w:val="1"/>
          <w:numId w:val="1043"/>
        </w:numPr>
      </w:pPr>
      <w:r>
        <w:t xml:space="preserve">Vektor-Datenbanken, Praxis-Erfahrung mit Pinecone, On-Premise Qdrant</w:t>
      </w:r>
    </w:p>
    <w:p>
      <w:pPr>
        <w:pStyle w:val="FirstParagraph"/>
      </w:pPr>
      <w:r>
        <w:rPr>
          <w:b/>
          <w:bCs/>
        </w:rPr>
        <w:t xml:space="preserve">Software Design:</w:t>
      </w:r>
    </w:p>
    <w:p>
      <w:pPr>
        <w:keepNext/>
        <w:pStyle w:val="Compact"/>
        <w:numPr>
          <w:ilvl w:val="0"/>
          <w:numId w:val="1044"/>
        </w:numPr>
      </w:pPr>
      <w:r>
        <w:t xml:space="preserve">Objekt-orientierte Programmierung, ereignis-orientierte Programmierung, prozedurale Programmierung</w:t>
      </w:r>
    </w:p>
    <w:p>
      <w:pPr>
        <w:keepNext/>
        <w:pStyle w:val="Compact"/>
        <w:numPr>
          <w:ilvl w:val="0"/>
          <w:numId w:val="1044"/>
        </w:numPr>
      </w:pPr>
      <w:r>
        <w:t xml:space="preserve">Prozessautomatisierung (UI.Vision, PyAutoGUI, n8n, Langflow)</w:t>
      </w:r>
    </w:p>
    <w:p>
      <w:pPr>
        <w:pStyle w:val="Compact"/>
        <w:numPr>
          <w:ilvl w:val="0"/>
          <w:numId w:val="1044"/>
        </w:numPr>
      </w:pPr>
      <w:r>
        <w:t xml:space="preserve">REST API Integration</w:t>
      </w:r>
    </w:p>
    <w:p>
      <w:pPr>
        <w:pStyle w:val="Compact"/>
        <w:numPr>
          <w:ilvl w:val="0"/>
          <w:numId w:val="1044"/>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4"/>
        </w:numPr>
      </w:pPr>
      <w:r>
        <w:t xml:space="preserve">C++, C, CAPL</w:t>
      </w:r>
    </w:p>
    <w:p>
      <w:pPr>
        <w:keepNext/>
        <w:pStyle w:val="Compact"/>
        <w:numPr>
          <w:ilvl w:val="0"/>
          <w:numId w:val="1044"/>
        </w:numPr>
      </w:pPr>
      <w:r>
        <w:t xml:space="preserve">Matlab</w:t>
      </w:r>
    </w:p>
    <w:p>
      <w:pPr>
        <w:keepNext/>
        <w:pStyle w:val="Compact"/>
        <w:numPr>
          <w:ilvl w:val="0"/>
          <w:numId w:val="1044"/>
        </w:numPr>
      </w:pPr>
      <w:r>
        <w:t xml:space="preserve">JavaScript</w:t>
      </w:r>
    </w:p>
    <w:p>
      <w:pPr>
        <w:pStyle w:val="Compact"/>
        <w:numPr>
          <w:ilvl w:val="0"/>
          <w:numId w:val="1044"/>
        </w:numPr>
      </w:pPr>
      <w:r>
        <w:t xml:space="preserve">HTML, PHP, XML, JSON, Markdown</w:t>
      </w:r>
    </w:p>
    <w:p>
      <w:pPr>
        <w:pStyle w:val="FirstParagraph"/>
      </w:pPr>
      <w:r>
        <w:rPr>
          <w:b/>
          <w:bCs/>
        </w:rPr>
        <w:t xml:space="preserve">Methodik:</w:t>
      </w:r>
    </w:p>
    <w:p>
      <w:pPr>
        <w:keepNext/>
        <w:pStyle w:val="Compact"/>
        <w:numPr>
          <w:ilvl w:val="0"/>
          <w:numId w:val="1045"/>
        </w:numPr>
      </w:pPr>
      <w:r>
        <w:t xml:space="preserve">Konzepterstellung</w:t>
      </w:r>
    </w:p>
    <w:p>
      <w:pPr>
        <w:keepNext/>
        <w:pStyle w:val="Compact"/>
        <w:numPr>
          <w:ilvl w:val="0"/>
          <w:numId w:val="1045"/>
        </w:numPr>
      </w:pPr>
      <w:r>
        <w:t xml:space="preserve">Spezifikationserstellung</w:t>
      </w:r>
    </w:p>
    <w:p>
      <w:pPr>
        <w:pStyle w:val="Compact"/>
        <w:numPr>
          <w:ilvl w:val="0"/>
          <w:numId w:val="1045"/>
        </w:numPr>
      </w:pPr>
      <w:r>
        <w:t xml:space="preserve">Systematische Fehleranalyse</w:t>
      </w:r>
    </w:p>
    <w:p>
      <w:pPr>
        <w:pStyle w:val="Compact"/>
        <w:numPr>
          <w:ilvl w:val="0"/>
          <w:numId w:val="1045"/>
        </w:numPr>
      </w:pPr>
      <w:r>
        <w:t xml:space="preserve">Technologie-Evaluierung und -Auswahl</w:t>
      </w:r>
    </w:p>
    <w:p>
      <w:pPr>
        <w:keepNext/>
        <w:pStyle w:val="Compact"/>
        <w:numPr>
          <w:ilvl w:val="0"/>
          <w:numId w:val="1045"/>
        </w:numPr>
      </w:pPr>
      <w:r>
        <w:t xml:space="preserve">Machbarkeitsstudien</w:t>
      </w:r>
    </w:p>
    <w:p>
      <w:pPr>
        <w:keepNext/>
        <w:pStyle w:val="Compact"/>
        <w:numPr>
          <w:ilvl w:val="0"/>
          <w:numId w:val="1045"/>
        </w:numPr>
      </w:pPr>
      <w:r>
        <w:t xml:space="preserve">Technische Dokumentation</w:t>
      </w:r>
    </w:p>
    <w:p>
      <w:pPr>
        <w:pStyle w:val="Compact"/>
        <w:numPr>
          <w:ilvl w:val="0"/>
          <w:numId w:val="1045"/>
        </w:numPr>
      </w:pPr>
      <w:r>
        <w:t xml:space="preserve">Projektmanagement</w:t>
      </w:r>
    </w:p>
    <w:p>
      <w:pPr>
        <w:pStyle w:val="FirstParagraph"/>
      </w:pPr>
      <w:r>
        <w:rPr>
          <w:b/>
          <w:bCs/>
        </w:rPr>
        <w:t xml:space="preserve">IT:</w:t>
      </w:r>
    </w:p>
    <w:p>
      <w:pPr>
        <w:keepNext/>
        <w:pStyle w:val="Compact"/>
        <w:numPr>
          <w:ilvl w:val="0"/>
          <w:numId w:val="1046"/>
        </w:numPr>
      </w:pPr>
      <w:r>
        <w:t xml:space="preserve">MS Windows, Unix inkl. Linux, Embedded Linux und Hosted Linux Server</w:t>
      </w:r>
    </w:p>
    <w:p>
      <w:pPr>
        <w:keepNext/>
        <w:pStyle w:val="Compact"/>
        <w:numPr>
          <w:ilvl w:val="0"/>
          <w:numId w:val="1046"/>
        </w:numPr>
      </w:pPr>
      <w:r>
        <w:t xml:space="preserve">MS Office / LibreOffice</w:t>
      </w:r>
    </w:p>
    <w:p>
      <w:pPr>
        <w:keepNext/>
        <w:pStyle w:val="Compact"/>
        <w:numPr>
          <w:ilvl w:val="0"/>
          <w:numId w:val="1046"/>
        </w:numPr>
      </w:pPr>
      <w:r>
        <w:t xml:space="preserve">MS Azure DevOps Server / Team Foundation Server, PTC Integrity, Subversion Server, Git</w:t>
      </w:r>
    </w:p>
    <w:p>
      <w:pPr>
        <w:keepNext/>
        <w:pStyle w:val="Compact"/>
        <w:numPr>
          <w:ilvl w:val="0"/>
          <w:numId w:val="1046"/>
        </w:numPr>
      </w:pPr>
      <w:r>
        <w:t xml:space="preserve">Virtuelle Maschinen basierend auf VMware Workstation und Linux KVM/Qemu, Docker Container, Podman Pods</w:t>
      </w:r>
    </w:p>
    <w:p>
      <w:pPr>
        <w:keepNext/>
        <w:pStyle w:val="Compact"/>
        <w:numPr>
          <w:ilvl w:val="0"/>
          <w:numId w:val="1046"/>
        </w:numPr>
      </w:pPr>
      <w:r>
        <w:t xml:space="preserve">NextCloud, n8n</w:t>
      </w:r>
    </w:p>
    <w:p>
      <w:pPr>
        <w:pStyle w:val="FirstParagraph"/>
      </w:pPr>
      <w:r>
        <w:rPr>
          <w:b/>
          <w:bCs/>
        </w:rPr>
        <w:t xml:space="preserve">Engineering Software:</w:t>
      </w:r>
    </w:p>
    <w:p>
      <w:pPr>
        <w:keepNext/>
        <w:pStyle w:val="Compact"/>
        <w:numPr>
          <w:ilvl w:val="0"/>
          <w:numId w:val="1047"/>
        </w:numPr>
      </w:pPr>
      <w:r>
        <w:t xml:space="preserve">Vector CANalyzer, CANape, CANoe</w:t>
      </w:r>
    </w:p>
    <w:p>
      <w:pPr>
        <w:keepNext/>
        <w:pStyle w:val="Compact"/>
        <w:numPr>
          <w:ilvl w:val="0"/>
          <w:numId w:val="1047"/>
        </w:numPr>
      </w:pPr>
      <w:r>
        <w:t xml:space="preserve">Ansys Electronics Desktop, HFSS, Q3D, SIwave</w:t>
      </w:r>
    </w:p>
    <w:p>
      <w:pPr>
        <w:keepNext/>
        <w:pStyle w:val="Compact"/>
        <w:numPr>
          <w:ilvl w:val="0"/>
          <w:numId w:val="1047"/>
        </w:numPr>
      </w:pPr>
      <w:r>
        <w:t xml:space="preserve">Keysight ADS inkl. Momentum, SIPro/PIPro und AEL Programmierung</w:t>
      </w:r>
    </w:p>
    <w:p>
      <w:pPr>
        <w:keepNext/>
        <w:pStyle w:val="Compact"/>
        <w:numPr>
          <w:ilvl w:val="0"/>
          <w:numId w:val="1047"/>
        </w:numPr>
      </w:pPr>
      <w:r>
        <w:t xml:space="preserve">CST</w:t>
      </w:r>
    </w:p>
    <w:p>
      <w:pPr>
        <w:pStyle w:val="FirstParagraph"/>
      </w:pPr>
      <w:r>
        <w:rPr>
          <w:b/>
          <w:bCs/>
        </w:rPr>
        <w:t xml:space="preserve">Messtechnik:</w:t>
      </w:r>
    </w:p>
    <w:p>
      <w:pPr>
        <w:keepNext/>
        <w:pStyle w:val="Compact"/>
        <w:numPr>
          <w:ilvl w:val="0"/>
          <w:numId w:val="1048"/>
        </w:numPr>
      </w:pPr>
      <w:r>
        <w:t xml:space="preserve">Daten-Netzwerk Performance mit Wireshark, iperf3, Vector Informatik Ethernet und CAN-Bus Testgeräten, GL Communications PacketExpert Gigabit Ethernet Tester</w:t>
      </w:r>
    </w:p>
    <w:p>
      <w:pPr>
        <w:keepNext/>
        <w:pStyle w:val="Compact"/>
        <w:numPr>
          <w:ilvl w:val="0"/>
          <w:numId w:val="1048"/>
        </w:numPr>
      </w:pPr>
      <w:r>
        <w:t xml:space="preserve">S-Parameter mit Netzwerkanalysatoren bis 110 GHz, On-Wafer und Koaxial, Kalibration, De-Embedding und Mixed-Mode S Parameter</w:t>
      </w:r>
    </w:p>
    <w:p>
      <w:pPr>
        <w:keepNext/>
        <w:pStyle w:val="Compact"/>
        <w:numPr>
          <w:ilvl w:val="0"/>
          <w:numId w:val="1048"/>
        </w:numPr>
      </w:pPr>
      <w:r>
        <w:t xml:space="preserve">Zeitbereichsmessungen mit Samplingoszilloskopen bis 50 GHz und Real Time Oszilloskopen bis 13 GHz</w:t>
      </w:r>
    </w:p>
    <w:p>
      <w:pPr>
        <w:pStyle w:val="FirstParagraph"/>
      </w:pPr>
      <w:r>
        <w:rPr>
          <w:b/>
          <w:bCs/>
        </w:rPr>
        <w:t xml:space="preserve">Fremdsprachen:</w:t>
      </w:r>
    </w:p>
    <w:p>
      <w:pPr>
        <w:keepNext/>
        <w:pStyle w:val="Compact"/>
        <w:numPr>
          <w:ilvl w:val="0"/>
          <w:numId w:val="1049"/>
        </w:numPr>
      </w:pPr>
      <w:r>
        <w:t xml:space="preserve">Deutsch: Muttersprache</w:t>
      </w:r>
    </w:p>
    <w:p>
      <w:pPr>
        <w:keepNext/>
        <w:pStyle w:val="Compact"/>
        <w:numPr>
          <w:ilvl w:val="0"/>
          <w:numId w:val="1049"/>
        </w:numPr>
      </w:pPr>
      <w:r>
        <w:t xml:space="preserve">Englisch: Fließend in Wort und Schrift</w:t>
      </w:r>
    </w:p>
    <w:p>
      <w:pPr>
        <w:pStyle w:val="FirstParagraph"/>
      </w:pPr>
      <w:r>
        <w:rPr>
          <w:b/>
          <w:bCs/>
        </w:rPr>
        <w:t xml:space="preserve">Veröffentlichungen:</w:t>
      </w:r>
    </w:p>
    <w:p>
      <w:pPr>
        <w:keepNext/>
        <w:pStyle w:val="Compact"/>
        <w:numPr>
          <w:ilvl w:val="0"/>
          <w:numId w:val="1050"/>
        </w:numPr>
      </w:pPr>
      <w:r>
        <w:t xml:space="preserve">Dissertation, fünf Veröffentlichungen, ein Patent, eine Erfindungsmeldung</w:t>
      </w:r>
    </w:p>
    <w:bookmarkEnd w:id="65"/>
    <w:bookmarkEnd w:id="66"/>
    <w:sectPr>
      <w:headerReference r:id="rId31" w:type="default"/>
      <w:headerReference r:id="rId32" w:type="first"/>
      <w:footerReference r:id="rId33" w:type="default"/>
      <w:footerReference r:id="rId33" w:type="first"/>
      <w:pgSz w:h="16838" w:w="11906"/>
      <w:pgMar w:bottom="1247" w:footer="720" w:gutter="0" w:header="720" w:left="1417" w:right="1417" w:top="1247"/>
      <w:titlePg/>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w:p>
    <w:pPr>
      <w:tabs>
        <w:tab w:val="right" w:pos="9072"/>
      </w:tabs>
    </w:pPr>
    <w:r>
      <w:tab/>
      <w:t xml:space="preserve">Seite </w:t>
    </w:r>
    <w:fldSimple w:instr="PAGE">
      <w:r>
        <w:t>1</w:t>
      </w:r>
    </w:fldSimple>
    <w:r>
      <w:t xml:space="preserve"> / </w:t>
    </w:r>
    <w:fldSimple w:instr="NUMPAGES">
      <w:r>
        <w:t>1</w:t>
      </w:r>
    </w:fldSimple>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w:p>
    <w:pPr>
      <w:tabs>
        <w:tab w:val="right" w:pos="9072"/>
      </w:tabs>
    </w:pPr>
    <w:r>
      <w:t xml:space="preserve">Dr.-Ing. Thomas Langer</w:t>
    </w:r>
    <w:r>
      <w:tab/>
      <w:t xml:space="preserve">Lebenslauf</w:t>
    </w:r>
  </w:p>
</w:hdr>
</file>

<file path=word/header2.xml><?xml version="1.0" encoding="utf-8"?>
<w:hdr xmlns:w="http://schemas.openxmlformats.org/wordprocessingml/2006/main">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340" w:hanging="198"/>
      </w:pPr>
    </w:lvl>
    <w:lvl w:ilvl="1">
      <w:numFmt w:val="bullet"/>
      <w:lvlText w:val=" "/>
      <w:lvlJc w:val="left"/>
      <w:pPr>
        <w:ind w:left="681" w:hanging="227"/>
      </w:pPr>
    </w:lvl>
    <w:lvl w:ilvl="2">
      <w:numFmt w:val="bullet"/>
      <w:lvlText w:val=" "/>
      <w:lvlJc w:val="left"/>
      <w:pPr>
        <w:ind w:left="993" w:hanging="227"/>
      </w:pPr>
    </w:lvl>
    <w:lvl w:ilvl="3">
      <w:numFmt w:val="bullet"/>
      <w:lvlText w:val=" "/>
      <w:lvlJc w:val="left"/>
      <w:pPr>
        <w:ind w:left="1305" w:hanging="227"/>
      </w:pPr>
    </w:lvl>
    <w:lvl w:ilvl="4">
      <w:numFmt w:val="bullet"/>
      <w:lvlText w:val=" "/>
      <w:lvlJc w:val="left"/>
      <w:pPr>
        <w:ind w:left="1617" w:hanging="227"/>
      </w:pPr>
    </w:lvl>
    <w:lvl w:ilvl="5">
      <w:numFmt w:val="bullet"/>
      <w:lvlText w:val=" "/>
      <w:lvlJc w:val="left"/>
      <w:pPr>
        <w:ind w:left="1929" w:hanging="227"/>
      </w:pPr>
    </w:lvl>
    <w:lvl w:ilvl="6">
      <w:numFmt w:val="bullet"/>
      <w:lvlText w:val=" "/>
      <w:lvlJc w:val="left"/>
      <w:pPr>
        <w:ind w:left="2241" w:hanging="227"/>
      </w:pPr>
    </w:lvl>
    <w:lvl w:ilvl="7">
      <w:numFmt w:val="bullet"/>
      <w:lvlText w:val=" "/>
      <w:lvlJc w:val="left"/>
      <w:pPr>
        <w:ind w:left="2553" w:hanging="227"/>
      </w:pPr>
    </w:lvl>
    <w:lvl w:ilvl="8">
      <w:numFmt w:val="bullet"/>
      <w:lvlText w:val=" "/>
      <w:lvlJc w:val="left"/>
      <w:pPr>
        <w:ind w:left="2865" w:hanging="227"/>
      </w:pPr>
    </w:lvl>
  </w:abstractNum>
  <w:abstractNum w:abstractNumId="991">
    <w:nsid w:val="0000A991"/>
    <w:multiLevelType w:val="multilevel"/>
    <w:lvl w:ilvl="0">
      <w:numFmt w:val="bullet"/>
      <w:lvlText w:val=""/>
      <w:lvlJc w:val="left"/>
      <w:pPr>
        <w:ind w:left="340" w:hanging="198"/>
      </w:pPr>
      <w:rPr>
        <w:rFonts w:ascii="Symbol" w:hAnsi="Symbol" w:cs="Symbol" w:hint="default"/>
      </w:rPr>
    </w:lvl>
    <w:lvl w:ilvl="1">
      <w:numFmt w:val="bullet"/>
      <w:lvlText w:val="o"/>
      <w:lvlJc w:val="left"/>
      <w:pPr>
        <w:ind w:left="681" w:hanging="227"/>
      </w:pPr>
      <w:rPr>
        <w:rFonts w:ascii="Courier New" w:hAnsi="Courier New" w:cs="Courier New" w:hint="default"/>
      </w:rPr>
    </w:lvl>
    <w:lvl w:ilvl="2">
      <w:numFmt w:val="bullet"/>
      <w:lvlText w:val=""/>
      <w:lvlJc w:val="left"/>
      <w:pPr>
        <w:ind w:left="993" w:hanging="227"/>
      </w:pPr>
      <w:rPr>
        <w:rFonts w:ascii="Wingdings" w:hAnsi="Wingdings" w:cs="Wingdings" w:hint="default"/>
      </w:rPr>
    </w:lvl>
    <w:lvl w:ilvl="3">
      <w:numFmt w:val="bullet"/>
      <w:lvlText w:val=""/>
      <w:lvlJc w:val="left"/>
      <w:pPr>
        <w:ind w:left="1305" w:hanging="227"/>
      </w:pPr>
      <w:rPr>
        <w:rFonts w:ascii="Symbol" w:hAnsi="Symbol" w:cs="Symbol" w:hint="default"/>
      </w:rPr>
    </w:lvl>
    <w:lvl w:ilvl="4">
      <w:numFmt w:val="bullet"/>
      <w:lvlText w:val="o"/>
      <w:lvlJc w:val="left"/>
      <w:pPr>
        <w:ind w:left="1617" w:hanging="227"/>
      </w:pPr>
      <w:rPr>
        <w:rFonts w:ascii="Courier New" w:hAnsi="Courier New" w:cs="Courier New" w:hint="default"/>
      </w:rPr>
    </w:lvl>
    <w:lvl w:ilvl="5">
      <w:numFmt w:val="bullet"/>
      <w:lvlText w:val=""/>
      <w:lvlJc w:val="left"/>
      <w:pPr>
        <w:ind w:left="1929" w:hanging="227"/>
      </w:pPr>
      <w:rPr>
        <w:rFonts w:ascii="Wingdings" w:hAnsi="Wingdings" w:cs="Wingdings" w:hint="default"/>
      </w:rPr>
    </w:lvl>
    <w:lvl w:ilvl="6">
      <w:numFmt w:val="bullet"/>
      <w:lvlText w:val=""/>
      <w:lvlJc w:val="left"/>
      <w:pPr>
        <w:ind w:left="2241" w:hanging="227"/>
      </w:pPr>
      <w:rPr>
        <w:rFonts w:ascii="Symbol" w:hAnsi="Symbol" w:cs="Symbol" w:hint="default"/>
      </w:rPr>
    </w:lvl>
    <w:lvl w:ilvl="7">
      <w:numFmt w:val="bullet"/>
      <w:lvlText w:val="o"/>
      <w:lvlJc w:val="left"/>
      <w:pPr>
        <w:ind w:left="2553" w:hanging="227"/>
      </w:pPr>
      <w:rPr>
        <w:rFonts w:ascii="Courier New" w:hAnsi="Courier New" w:cs="Courier New" w:hint="default"/>
      </w:rPr>
    </w:lvl>
    <w:lvl w:ilvl="8">
      <w:numFmt w:val="bullet"/>
      <w:lvlText w:val=""/>
      <w:lvlJc w:val="left"/>
      <w:pPr>
        <w:ind w:left="2865" w:hanging="227"/>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w="http://schemas.openxmlformats.org/wordprocessingml/2006/main">
  <w:docDefaults>
    <w:rPrDefault>
      <w:rPr>
        <w:rFonts w:asciiTheme="minorHAnsi" w:cstheme="minorBidi" w:eastAsiaTheme="minorEastAsia" w:hAnsiTheme="minorHAnsi"/>
        <w:sz w:val="22"/>
        <w:szCs w:val="22"/>
        <w:lang w:bidi="ar-SA" w:eastAsia="zh-CN" w:val="en-US"/>
      </w:rPr>
    </w:rPrDefault>
    <w:pPrDefault>
      <w:pPr>
        <w:spacing w:after="200"/>
        <w:widowControl/>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pPr>
      <w:keepNext/>
      <w:keepLines/>
    </w:pPr>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val="0B5394"/>
      <w:sz w:val="30"/>
      <w:szCs w:val="3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val="0B5394"/>
      <w:sz w:val="26"/>
      <w:szCs w:val="26"/>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val="0B5394"/>
      <w:sz w:val="24"/>
      <w:szCs w:val="24"/>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Borders>
        <w:top w:color="auto" w:space="0" w:sz="0" w:val="none"/>
        <w:left w:color="auto" w:space="0" w:sz="0" w:val="none"/>
        <w:bottom w:color="auto" w:space="0" w:sz="0" w:val="none"/>
        <w:right w:color="auto" w:space="0" w:sz="0" w:val="none"/>
        <w:insideH w:color="auto" w:space="0" w:sz="0" w:val="none"/>
        <w:insideV w:color="auto" w:space="0" w:sz="0" w:val="none"/>
      </w:tblBorders>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41" Target="numbering.xml" /><Relationship Type="http://schemas.openxmlformats.org/officeDocument/2006/relationships/styles" Id="rId40" Target="styles.xml" /><Relationship Type="http://schemas.openxmlformats.org/officeDocument/2006/relationships/settings" Id="rId39" Target="settings.xml" /><Relationship Type="http://schemas.openxmlformats.org/officeDocument/2006/relationships/webSettings" Id="rId38" Target="webSettings.xml" /><Relationship Type="http://schemas.openxmlformats.org/officeDocument/2006/relationships/fontTable" Id="rId37" Target="fontTable.xml" /><Relationship Type="http://schemas.openxmlformats.org/officeDocument/2006/relationships/theme" Id="rId36" Target="theme/theme1.xml" /><Relationship Type="http://schemas.openxmlformats.org/officeDocument/2006/relationships/footnotes" Id="rId35" Target="footnotes.xml" /><Relationship Type="http://schemas.openxmlformats.org/officeDocument/2006/relationships/comments" Id="rId34" Target="comments.xml" /><Relationship Id="rId31" Target="header1.xml" Type="http://schemas.openxmlformats.org/officeDocument/2006/relationships/header" /><Relationship Id="rId32" Target="header2.xml" Type="http://schemas.openxmlformats.org/officeDocument/2006/relationships/header" /><Relationship Id="rId33"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xmlns:ns1="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ns1:themeFamily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2026-04-26T19:32:38Z</dcterms:created>
  <dcterms:modified xsi:type="dcterms:W3CDTF">2026-04-26T19:32:38Z</dcterms:modified>
</cp:coreProperties>
</file>

<file path=docProps/custom.xml><?xml version="1.0" encoding="utf-8"?>
<Properties xmlns="http://schemas.openxmlformats.org/officeDocument/2006/custom-properties" xmlns:vt="http://schemas.openxmlformats.org/officeDocument/2006/docPropsVTypes"/>
</file>